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C617E3" w:rsidRDefault="0094424E" w:rsidP="00D44968">
      <w:pPr>
        <w:suppressLineNumbers/>
        <w:rPr>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C617E3">
        <w:trPr>
          <w:jc w:val="center"/>
        </w:trPr>
        <w:tc>
          <w:tcPr>
            <w:tcW w:w="743" w:type="dxa"/>
          </w:tcPr>
          <w:p w:rsidR="0094424E" w:rsidRPr="00C617E3" w:rsidRDefault="00DA2495" w:rsidP="00D44968">
            <w:pPr>
              <w:suppressLineNumbers/>
              <w:jc w:val="both"/>
              <w:rPr>
                <w:rFonts w:ascii="Arial" w:hAnsi="Arial"/>
                <w:b/>
                <w:bCs/>
                <w:sz w:val="30"/>
                <w:szCs w:val="30"/>
                <w:rtl/>
              </w:rPr>
            </w:pPr>
            <w:r w:rsidRPr="00C617E3">
              <w:rPr>
                <w:rFonts w:ascii="Arial" w:hAnsi="Arial" w:hint="cs"/>
                <w:b/>
                <w:bCs/>
                <w:sz w:val="30"/>
                <w:szCs w:val="30"/>
                <w:rtl/>
              </w:rPr>
              <w:t>ל</w:t>
            </w:r>
            <w:r w:rsidR="0094424E" w:rsidRPr="00C617E3">
              <w:rPr>
                <w:rFonts w:ascii="Arial" w:hAnsi="Arial"/>
                <w:b/>
                <w:bCs/>
                <w:sz w:val="30"/>
                <w:szCs w:val="30"/>
                <w:rtl/>
              </w:rPr>
              <w:t xml:space="preserve">פני </w:t>
            </w:r>
          </w:p>
        </w:tc>
        <w:tc>
          <w:tcPr>
            <w:tcW w:w="8077" w:type="dxa"/>
            <w:gridSpan w:val="2"/>
          </w:tcPr>
          <w:p w:rsidR="0094424E" w:rsidRPr="00C617E3" w:rsidRDefault="000529D2" w:rsidP="00E9269D">
            <w:pPr>
              <w:suppressLineNumbers/>
              <w:rPr>
                <w:rFonts w:ascii="Arial" w:hAnsi="Arial"/>
                <w:b/>
                <w:bCs/>
                <w:sz w:val="30"/>
                <w:szCs w:val="30"/>
                <w:rtl/>
              </w:rPr>
            </w:pPr>
            <w:r w:rsidRPr="00C617E3">
              <w:rPr>
                <w:rFonts w:ascii="Arial" w:hAnsi="Arial" w:hint="cs"/>
                <w:b/>
                <w:bCs/>
                <w:sz w:val="30"/>
                <w:szCs w:val="30"/>
                <w:rtl/>
              </w:rPr>
              <w:t>כבוד</w:t>
            </w:r>
            <w:r w:rsidR="0094424E" w:rsidRPr="00C617E3">
              <w:rPr>
                <w:rFonts w:ascii="Arial" w:hAnsi="Arial" w:hint="cs"/>
                <w:b/>
                <w:bCs/>
                <w:sz w:val="30"/>
                <w:szCs w:val="30"/>
                <w:rtl/>
              </w:rPr>
              <w:t xml:space="preserve"> ה</w:t>
            </w:r>
            <w:sdt>
              <w:sdtPr>
                <w:rPr>
                  <w:sz w:val="30"/>
                  <w:szCs w:val="30"/>
                  <w:rtl/>
                </w:rPr>
                <w:alias w:val="1574"/>
                <w:tag w:val="1574"/>
                <w:id w:val="414602899"/>
                <w:text w:multiLine="1"/>
              </w:sdtPr>
              <w:sdtEndPr/>
              <w:sdtContent>
                <w:r w:rsidRPr="00C617E3">
                  <w:rPr>
                    <w:rFonts w:ascii="Arial" w:hAnsi="Arial"/>
                    <w:b/>
                    <w:bCs/>
                    <w:sz w:val="30"/>
                    <w:szCs w:val="30"/>
                    <w:rtl/>
                  </w:rPr>
                  <w:t>שופט</w:t>
                </w:r>
              </w:sdtContent>
            </w:sdt>
            <w:r w:rsidR="0094424E" w:rsidRPr="00C617E3">
              <w:rPr>
                <w:rFonts w:ascii="Arial" w:hAnsi="Arial" w:hint="cs"/>
                <w:b/>
                <w:bCs/>
                <w:sz w:val="30"/>
                <w:szCs w:val="30"/>
                <w:rtl/>
              </w:rPr>
              <w:t xml:space="preserve"> </w:t>
            </w:r>
            <w:sdt>
              <w:sdtPr>
                <w:rPr>
                  <w:sz w:val="30"/>
                  <w:szCs w:val="30"/>
                  <w:rtl/>
                </w:rPr>
                <w:alias w:val="1573"/>
                <w:tag w:val="1573"/>
                <w:id w:val="-1751030614"/>
                <w:text w:multiLine="1"/>
              </w:sdtPr>
              <w:sdtEndPr/>
              <w:sdtContent>
                <w:r w:rsidRPr="00C617E3">
                  <w:rPr>
                    <w:rFonts w:ascii="Arial" w:hAnsi="Arial"/>
                    <w:b/>
                    <w:bCs/>
                    <w:sz w:val="30"/>
                    <w:szCs w:val="30"/>
                    <w:rtl/>
                  </w:rPr>
                  <w:t>אביים ברקאי</w:t>
                </w:r>
              </w:sdtContent>
            </w:sdt>
          </w:p>
          <w:p w:rsidR="0094424E" w:rsidRPr="00C617E3" w:rsidRDefault="0094424E" w:rsidP="00D44968">
            <w:pPr>
              <w:suppressLineNumbers/>
              <w:rPr>
                <w:rFonts w:ascii="Arial" w:hAnsi="Arial" w:cs="FrankRuehl"/>
                <w:sz w:val="30"/>
                <w:szCs w:val="30"/>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9838D0" w:rsidRDefault="008A7612" w:rsidP="00C617E3">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C617E3">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אור פינסון</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A47B64" w:rsidP="009E461A">
            <w:pPr>
              <w:suppressLineNumbers/>
              <w:rPr>
                <w:rFonts w:ascii="Arial" w:hAnsi="Arial"/>
                <w:b/>
                <w:bCs/>
                <w:noProof w:val="0"/>
                <w:sz w:val="26"/>
                <w:szCs w:val="26"/>
              </w:rPr>
            </w:pPr>
            <w:sdt>
              <w:sdtPr>
                <w:rPr>
                  <w:rtl/>
                </w:rPr>
                <w:alias w:val="1184"/>
                <w:tag w:val="1184"/>
                <w:id w:val="-340621022"/>
                <w:text w:multiLine="1"/>
              </w:sdtPr>
              <w:sdtEndPr/>
              <w:sdtContent>
                <w:r w:rsidR="00DA2495">
                  <w:rPr>
                    <w:rFonts w:ascii="Arial" w:hAnsi="Arial"/>
                    <w:b/>
                    <w:bCs/>
                    <w:noProof w:val="0"/>
                    <w:sz w:val="26"/>
                    <w:szCs w:val="26"/>
                    <w:rtl/>
                  </w:rPr>
                  <w:t>נתבעים</w:t>
                </w:r>
              </w:sdtContent>
            </w:sdt>
          </w:p>
        </w:tc>
        <w:tc>
          <w:tcPr>
            <w:tcW w:w="5571" w:type="dxa"/>
          </w:tcPr>
          <w:p w:rsidR="00CF6BB7" w:rsidRPr="009E461A" w:rsidRDefault="00A47B64" w:rsidP="00C617E3">
            <w:pPr>
              <w:suppressLineNumbers/>
              <w:rPr>
                <w:rtl/>
              </w:rPr>
            </w:pPr>
            <w:sdt>
              <w:sdtPr>
                <w:rPr>
                  <w:rtl/>
                </w:rPr>
                <w:alias w:val="1571"/>
                <w:tag w:val="1571"/>
                <w:id w:val="1028836282"/>
                <w:text w:multiLine="1"/>
              </w:sdtPr>
              <w:sdtEndPr/>
              <w:sdtContent>
                <w:r w:rsidR="00DA249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ג'ואי לאו</w:t>
                </w:r>
              </w:sdtContent>
            </w:sdt>
            <w:r w:rsidR="00B859C5">
              <w:rPr>
                <w:rFonts w:hint="cs"/>
                <w:rtl/>
              </w:rPr>
              <w:t xml:space="preserve"> </w:t>
            </w:r>
          </w:p>
          <w:p w:rsidR="00CF6BB7" w:rsidRPr="009E461A" w:rsidRDefault="00A47B64" w:rsidP="00C617E3">
            <w:pPr>
              <w:suppressLineNumbers/>
              <w:rPr>
                <w:rtl/>
              </w:rPr>
            </w:pPr>
            <w:sdt>
              <w:sdtPr>
                <w:rPr>
                  <w:rtl/>
                </w:rPr>
                <w:alias w:val="1571"/>
                <w:tag w:val="1571"/>
                <w:id w:val="-2044818011"/>
                <w:text w:multiLine="1"/>
              </w:sdtPr>
              <w:sdtEndPr/>
              <w:sdtContent>
                <w:r w:rsidR="00DA249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97043187"/>
                <w:placeholder>
                  <w:docPart w:val="C3B0FBA23B684176B12DDEEA2C39785F"/>
                </w:placeholder>
                <w:text w:multiLine="1"/>
              </w:sdtPr>
              <w:sdtEndPr/>
              <w:sdtContent>
                <w:r w:rsidR="00DA2495">
                  <w:rPr>
                    <w:rFonts w:ascii="Arial" w:hAnsi="Arial" w:hint="eastAsia"/>
                    <w:b/>
                    <w:bCs/>
                    <w:noProof w:val="0"/>
                    <w:sz w:val="26"/>
                    <w:szCs w:val="26"/>
                    <w:rtl/>
                  </w:rPr>
                  <w:t>קרול לאו</w:t>
                </w:r>
              </w:sdtContent>
            </w:sdt>
            <w:r w:rsidR="00B859C5">
              <w:rPr>
                <w:rFonts w:hint="cs"/>
                <w:rtl/>
              </w:rPr>
              <w:t xml:space="preserve"> </w:t>
            </w:r>
          </w:p>
          <w:p w:rsidR="00CF6BB7" w:rsidRPr="009E461A" w:rsidRDefault="00A47B64" w:rsidP="00C617E3">
            <w:pPr>
              <w:suppressLineNumbers/>
              <w:rPr>
                <w:rtl/>
              </w:rPr>
            </w:pPr>
            <w:sdt>
              <w:sdtPr>
                <w:rPr>
                  <w:rtl/>
                </w:rPr>
                <w:alias w:val="1571"/>
                <w:tag w:val="1571"/>
                <w:id w:val="-482937701"/>
                <w:text w:multiLine="1"/>
              </w:sdtPr>
              <w:sdtEndPr/>
              <w:sdtContent>
                <w:r w:rsidR="00DA2495">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16731206"/>
                <w:placeholder>
                  <w:docPart w:val="C3B0FBA23B684176B12DDEEA2C39785F"/>
                </w:placeholder>
                <w:text w:multiLine="1"/>
              </w:sdtPr>
              <w:sdtEndPr/>
              <w:sdtContent>
                <w:r w:rsidR="00DA2495">
                  <w:rPr>
                    <w:rFonts w:ascii="Arial" w:hAnsi="Arial" w:hint="eastAsia"/>
                    <w:b/>
                    <w:bCs/>
                    <w:noProof w:val="0"/>
                    <w:sz w:val="26"/>
                    <w:szCs w:val="26"/>
                    <w:rtl/>
                  </w:rPr>
                  <w:t>טניה לאו</w:t>
                </w:r>
              </w:sdtContent>
            </w:sdt>
            <w:r w:rsidR="00B859C5">
              <w:rPr>
                <w:rFonts w:hint="cs"/>
                <w:rtl/>
              </w:rPr>
              <w:t xml:space="preserve"> </w:t>
            </w:r>
          </w:p>
          <w:p w:rsidR="00CF6BB7" w:rsidRPr="009E461A" w:rsidRDefault="00A47B64" w:rsidP="00C617E3">
            <w:pPr>
              <w:suppressLineNumbers/>
              <w:rPr>
                <w:rtl/>
              </w:rPr>
            </w:pPr>
            <w:sdt>
              <w:sdtPr>
                <w:rPr>
                  <w:rtl/>
                </w:rPr>
                <w:alias w:val="1571"/>
                <w:tag w:val="1571"/>
                <w:id w:val="1821071215"/>
                <w:text w:multiLine="1"/>
              </w:sdtPr>
              <w:sdtEndPr/>
              <w:sdtContent>
                <w:r w:rsidR="00DA2495">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23002950"/>
                <w:placeholder>
                  <w:docPart w:val="C3B0FBA23B684176B12DDEEA2C39785F"/>
                </w:placeholder>
                <w:text w:multiLine="1"/>
              </w:sdtPr>
              <w:sdtEndPr/>
              <w:sdtContent>
                <w:r w:rsidR="00DA2495">
                  <w:rPr>
                    <w:rFonts w:ascii="Arial" w:hAnsi="Arial" w:hint="eastAsia"/>
                    <w:b/>
                    <w:bCs/>
                    <w:noProof w:val="0"/>
                    <w:sz w:val="26"/>
                    <w:szCs w:val="26"/>
                    <w:rtl/>
                  </w:rPr>
                  <w:t>אורן בר משה</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7B64"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9838D0" w:rsidRPr="001F2927" w:rsidRDefault="009838D0">
            <w:pPr>
              <w:suppressLineNumbers/>
              <w:rPr>
                <w:rFonts w:ascii="Arial" w:hAnsi="Arial"/>
                <w:noProof w:val="0"/>
                <w:sz w:val="26"/>
                <w:szCs w:val="26"/>
                <w:rtl/>
              </w:rPr>
            </w:pPr>
          </w:p>
          <w:p w:rsidR="00C617E3" w:rsidRPr="001F2927" w:rsidRDefault="00C617E3" w:rsidP="00C617E3">
            <w:pPr>
              <w:suppressLineNumbers/>
              <w:rPr>
                <w:rFonts w:ascii="Arial" w:hAnsi="Arial"/>
                <w:noProof w:val="0"/>
                <w:rtl/>
              </w:rPr>
            </w:pPr>
            <w:r w:rsidRPr="001F2927">
              <w:rPr>
                <w:rFonts w:ascii="Arial" w:hAnsi="Arial" w:hint="cs"/>
                <w:noProof w:val="0"/>
                <w:rtl/>
              </w:rPr>
              <w:t xml:space="preserve">ב"כ התובע </w:t>
            </w:r>
            <w:r w:rsidRPr="001F2927">
              <w:rPr>
                <w:rFonts w:ascii="Arial" w:hAnsi="Arial"/>
                <w:noProof w:val="0"/>
                <w:rtl/>
              </w:rPr>
              <w:t>–</w:t>
            </w:r>
            <w:r w:rsidRPr="001F2927">
              <w:rPr>
                <w:rFonts w:ascii="Arial" w:hAnsi="Arial" w:hint="cs"/>
                <w:noProof w:val="0"/>
                <w:rtl/>
              </w:rPr>
              <w:t xml:space="preserve"> עו"ד מיכאל טסלר </w:t>
            </w:r>
            <w:r w:rsidRPr="001F2927">
              <w:rPr>
                <w:rFonts w:ascii="Arial" w:hAnsi="Arial"/>
                <w:noProof w:val="0"/>
                <w:rtl/>
              </w:rPr>
              <w:t>–</w:t>
            </w:r>
            <w:r w:rsidRPr="001F2927">
              <w:rPr>
                <w:rFonts w:ascii="Arial" w:hAnsi="Arial" w:hint="cs"/>
                <w:noProof w:val="0"/>
                <w:rtl/>
              </w:rPr>
              <w:t xml:space="preserve"> ממשרד מיתר - עורכי דין</w:t>
            </w:r>
          </w:p>
          <w:p w:rsidR="00C617E3" w:rsidRPr="001F2927" w:rsidRDefault="00C617E3" w:rsidP="00C617E3">
            <w:pPr>
              <w:suppressLineNumbers/>
              <w:rPr>
                <w:rFonts w:ascii="Arial" w:hAnsi="Arial"/>
                <w:noProof w:val="0"/>
                <w:rtl/>
              </w:rPr>
            </w:pPr>
            <w:r w:rsidRPr="001F2927">
              <w:rPr>
                <w:rFonts w:ascii="Arial" w:hAnsi="Arial" w:hint="cs"/>
                <w:noProof w:val="0"/>
                <w:rtl/>
              </w:rPr>
              <w:t xml:space="preserve">ב"כ הנתבעים </w:t>
            </w:r>
            <w:r w:rsidRPr="001F2927">
              <w:rPr>
                <w:rFonts w:ascii="Arial" w:hAnsi="Arial"/>
                <w:noProof w:val="0"/>
                <w:rtl/>
              </w:rPr>
              <w:t>–</w:t>
            </w:r>
            <w:r w:rsidRPr="001F2927">
              <w:rPr>
                <w:rFonts w:ascii="Arial" w:hAnsi="Arial" w:hint="cs"/>
                <w:noProof w:val="0"/>
                <w:rtl/>
              </w:rPr>
              <w:t xml:space="preserve"> עו"ד דוד זילר, עו"ד לב זיגמן, עו"ד יערה שביט דרבאו </w:t>
            </w:r>
            <w:r w:rsidRPr="001F2927">
              <w:rPr>
                <w:rFonts w:ascii="Arial" w:hAnsi="Arial"/>
                <w:noProof w:val="0"/>
                <w:rtl/>
              </w:rPr>
              <w:t>–</w:t>
            </w:r>
            <w:r w:rsidRPr="001F2927">
              <w:rPr>
                <w:rFonts w:ascii="Arial" w:hAnsi="Arial" w:hint="cs"/>
                <w:noProof w:val="0"/>
                <w:rtl/>
              </w:rPr>
              <w:t xml:space="preserve"> ממשרד הרצוג, פוקס, נאמן </w:t>
            </w:r>
            <w:r w:rsidRPr="001F2927">
              <w:rPr>
                <w:rFonts w:ascii="Arial" w:hAnsi="Arial"/>
                <w:noProof w:val="0"/>
                <w:rtl/>
              </w:rPr>
              <w:t>–</w:t>
            </w:r>
            <w:r w:rsidRPr="001F2927">
              <w:rPr>
                <w:rFonts w:ascii="Arial" w:hAnsi="Arial" w:hint="cs"/>
                <w:noProof w:val="0"/>
                <w:rtl/>
              </w:rPr>
              <w:t xml:space="preserve"> עורכי דין</w:t>
            </w:r>
          </w:p>
          <w:p w:rsidR="00C617E3" w:rsidRDefault="00C617E3">
            <w:pPr>
              <w:suppressLineNumbers/>
              <w:rPr>
                <w:rFonts w:ascii="Arial" w:hAnsi="Arial"/>
                <w:b/>
                <w:bCs/>
                <w:noProof w:val="0"/>
                <w:sz w:val="26"/>
                <w:szCs w:val="26"/>
                <w:rtl/>
              </w:rPr>
            </w:pPr>
          </w:p>
          <w:p w:rsidR="00C617E3" w:rsidRDefault="00C617E3">
            <w:pPr>
              <w:suppressLineNumbers/>
              <w:rPr>
                <w:rFonts w:ascii="Arial" w:hAnsi="Arial"/>
                <w:b/>
                <w:bCs/>
                <w:noProof w:val="0"/>
                <w:sz w:val="26"/>
                <w:szCs w:val="26"/>
                <w:rtl/>
              </w:rPr>
            </w:pPr>
          </w:p>
        </w:tc>
      </w:tr>
    </w:tbl>
    <w:p w:rsidR="00C617E3" w:rsidRDefault="00C617E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C617E3" w:rsidRDefault="003E38C7">
            <w:pPr>
              <w:bidi w:val="0"/>
              <w:jc w:val="center"/>
              <w:rPr>
                <w:rFonts w:ascii="Arial" w:hAnsi="Arial"/>
                <w:b/>
                <w:bCs/>
                <w:noProof w:val="0"/>
                <w:sz w:val="34"/>
                <w:szCs w:val="34"/>
                <w:u w:val="single"/>
                <w:rtl/>
              </w:rPr>
            </w:pPr>
            <w:r w:rsidRPr="00C617E3">
              <w:rPr>
                <w:rFonts w:ascii="Arial" w:hAnsi="Arial" w:hint="cs"/>
                <w:b/>
                <w:bCs/>
                <w:noProof w:val="0"/>
                <w:sz w:val="34"/>
                <w:szCs w:val="34"/>
                <w:u w:val="single"/>
                <w:rtl/>
              </w:rPr>
              <w:t>פסק דין</w:t>
            </w:r>
          </w:p>
          <w:p w:rsidR="00D44968" w:rsidRDefault="00D44968" w:rsidP="00D44968">
            <w:pPr>
              <w:bidi w:val="0"/>
              <w:jc w:val="center"/>
              <w:rPr>
                <w:rFonts w:ascii="Arial" w:hAnsi="Arial"/>
                <w:b/>
                <w:bCs/>
                <w:noProof w:val="0"/>
                <w:sz w:val="28"/>
                <w:szCs w:val="28"/>
                <w:u w:val="single"/>
              </w:rPr>
            </w:pPr>
          </w:p>
          <w:p w:rsidR="001F2927" w:rsidRPr="00D44968" w:rsidRDefault="001F2927" w:rsidP="001F2927">
            <w:pPr>
              <w:bidi w:val="0"/>
              <w:jc w:val="center"/>
              <w:rPr>
                <w:rFonts w:ascii="Arial" w:hAnsi="Arial"/>
                <w:b/>
                <w:bCs/>
                <w:noProof w:val="0"/>
                <w:sz w:val="28"/>
                <w:szCs w:val="28"/>
                <w:u w:val="single"/>
              </w:rPr>
            </w:pPr>
          </w:p>
        </w:tc>
      </w:tr>
    </w:tbl>
    <w:p w:rsidR="001F2927" w:rsidRDefault="001F2927" w:rsidP="001F2927">
      <w:pPr>
        <w:pStyle w:val="ad"/>
        <w:spacing w:line="360" w:lineRule="auto"/>
        <w:ind w:left="-739"/>
        <w:jc w:val="both"/>
        <w:rPr>
          <w:rFonts w:ascii="David" w:hAnsi="David" w:cs="David"/>
          <w:b/>
          <w:bCs/>
          <w:sz w:val="32"/>
          <w:szCs w:val="32"/>
          <w:u w:val="single"/>
          <w:rtl/>
        </w:rPr>
      </w:pPr>
      <w:bookmarkStart w:id="0" w:name="NGCSBookmark"/>
      <w:bookmarkEnd w:id="0"/>
      <w:r>
        <w:rPr>
          <w:rFonts w:ascii="David" w:hAnsi="David" w:cs="David"/>
          <w:b/>
          <w:bCs/>
          <w:sz w:val="32"/>
          <w:szCs w:val="32"/>
          <w:u w:val="single"/>
          <w:rtl/>
        </w:rPr>
        <w:t xml:space="preserve">חלק ראשון – פתח דבר והשאלות בהן יש להכריע </w:t>
      </w:r>
    </w:p>
    <w:p w:rsidR="001F2927" w:rsidRDefault="001F2927" w:rsidP="001F2927">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פתח דבר</w:t>
      </w:r>
    </w:p>
    <w:p w:rsidR="001F2927" w:rsidRDefault="001F2927" w:rsidP="001F2927">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עניינו של פסק הדין</w:t>
      </w:r>
      <w:r>
        <w:rPr>
          <w:rFonts w:ascii="David" w:hAnsi="David" w:cs="David"/>
          <w:sz w:val="24"/>
          <w:szCs w:val="24"/>
          <w:rtl/>
        </w:rPr>
        <w:t xml:space="preserve"> - עניינו של פסק דין זה הוא תביעה על סך של  </w:t>
      </w:r>
      <w:r>
        <w:rPr>
          <w:rFonts w:ascii="David" w:hAnsi="David" w:cs="David"/>
          <w:b/>
          <w:bCs/>
          <w:sz w:val="24"/>
          <w:szCs w:val="24"/>
          <w:u w:val="single"/>
          <w:rtl/>
        </w:rPr>
        <w:t xml:space="preserve">1,965,600 ₪ </w:t>
      </w:r>
      <w:r>
        <w:rPr>
          <w:rFonts w:ascii="David" w:hAnsi="David" w:cs="David"/>
          <w:sz w:val="24"/>
          <w:szCs w:val="24"/>
          <w:rtl/>
        </w:rPr>
        <w:t xml:space="preserve">שהגיש מתווך כנגד לקוחותיו. התביעה מבוססת על הסכם תיווך חתום ומתייחסת לנכס שרכשו הנתבעים 1 ו-2  כנגד הסך של 84,000,000 ₪ (שמונים וארבעה מיליון ₪). הנכס שנרכש הוא קומה 28 בבנין מגורים ברחוב ארלוזורוב בתל אביב. בנין שהיה בשלבי בניה במועדים הרלוונטיים לתביעה. הנכס שהוצג על ידי הנתבע הוא מחצית מקומה 28 בבנין, כשהקומה כולה עדיין בשלבי מעטפת. </w:t>
      </w:r>
    </w:p>
    <w:p w:rsidR="001F2927" w:rsidRDefault="001F2927" w:rsidP="001F2927">
      <w:pPr>
        <w:pStyle w:val="ad"/>
        <w:spacing w:line="360" w:lineRule="auto"/>
        <w:ind w:left="395"/>
        <w:jc w:val="both"/>
        <w:rPr>
          <w:rFonts w:ascii="David" w:hAnsi="David" w:cs="David"/>
          <w:sz w:val="24"/>
          <w:szCs w:val="24"/>
        </w:rPr>
      </w:pPr>
    </w:p>
    <w:p w:rsidR="001F2927" w:rsidRDefault="001F2927" w:rsidP="001F2927">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מהות המחלוקת, בקליפת אגוז</w:t>
      </w:r>
    </w:p>
    <w:p w:rsidR="001F2927" w:rsidRDefault="001F2927" w:rsidP="001F2927">
      <w:pPr>
        <w:pStyle w:val="ad"/>
        <w:numPr>
          <w:ilvl w:val="0"/>
          <w:numId w:val="2"/>
        </w:numPr>
        <w:spacing w:line="360" w:lineRule="auto"/>
        <w:jc w:val="both"/>
        <w:rPr>
          <w:rFonts w:ascii="David" w:hAnsi="David" w:cs="David"/>
          <w:sz w:val="24"/>
          <w:szCs w:val="24"/>
        </w:rPr>
      </w:pPr>
      <w:r>
        <w:rPr>
          <w:rFonts w:ascii="David" w:hAnsi="David" w:cs="David"/>
          <w:sz w:val="24"/>
          <w:szCs w:val="24"/>
          <w:rtl/>
        </w:rPr>
        <w:t>בתמצית ייאמר שהתובע הציג הסכם תיווך עליו חתמה הנתבעת 3, ביתם של הנתבעים 1 ו-2. הסכם התיווך התייחס, בין היתר, לקומה 28 בבניין ברחוב ארלוזורוב בתל אביב. בגין מחצית הקומה נדרש הסך של 65,000,000 ₪ (ששים וחמישה מליון ₪). אין חולק על כך שהתובע אכן הציג את הנכס כשהוא ברמת מעטפת, זאת כבר ביום 17/3/2019. לאחר מכן המשיך התובע להיות בקשר עם הנתבעים, ובעיקר עם הנתבעת 2, תוך שהוא מציע ומציג להם כנטען נכסים אחרים – בין לרכישה ובין להשכרה.</w:t>
      </w:r>
    </w:p>
    <w:p w:rsidR="001F2927" w:rsidRDefault="001F2927" w:rsidP="001F2927">
      <w:pPr>
        <w:pStyle w:val="ad"/>
        <w:spacing w:line="360" w:lineRule="auto"/>
        <w:ind w:left="755"/>
        <w:jc w:val="both"/>
        <w:rPr>
          <w:rFonts w:ascii="David" w:hAnsi="David" w:cs="David"/>
          <w:sz w:val="24"/>
          <w:szCs w:val="24"/>
        </w:rPr>
      </w:pPr>
    </w:p>
    <w:p w:rsidR="001F2927" w:rsidRDefault="001F2927" w:rsidP="001F2927">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ביום </w:t>
      </w:r>
      <w:r>
        <w:rPr>
          <w:rFonts w:ascii="David" w:hAnsi="David" w:cs="David"/>
          <w:sz w:val="24"/>
          <w:szCs w:val="24"/>
          <w:u w:val="single"/>
          <w:rtl/>
        </w:rPr>
        <w:t>1/6/2020</w:t>
      </w:r>
      <w:r>
        <w:rPr>
          <w:rFonts w:ascii="David" w:hAnsi="David" w:cs="David"/>
          <w:sz w:val="24"/>
          <w:szCs w:val="24"/>
          <w:rtl/>
        </w:rPr>
        <w:t xml:space="preserve"> הציע התובע לנתבעת במסגרת התכתבות מסרונים נכס נוסף לרכישה. רק למעלה משבועיים לאחר מכן וביום 16/6/2020 הודיעה לו הנתבעת 2 שהם כבר אינם מחפשים נכס וכלשונה – </w:t>
      </w:r>
      <w:r>
        <w:rPr>
          <w:rFonts w:ascii="David" w:hAnsi="David" w:cs="David"/>
          <w:b/>
          <w:bCs/>
          <w:sz w:val="24"/>
          <w:szCs w:val="24"/>
        </w:rPr>
        <w:t>"Thank You we are not looking anymore"</w:t>
      </w:r>
      <w:r>
        <w:rPr>
          <w:rFonts w:ascii="David" w:hAnsi="David" w:cs="David"/>
          <w:sz w:val="24"/>
          <w:szCs w:val="24"/>
          <w:rtl/>
        </w:rPr>
        <w:t xml:space="preserve"> (נספח 6 לתצהיר התובע, ע"מ 26 לתצהיר).  </w:t>
      </w:r>
    </w:p>
    <w:p w:rsidR="001F2927" w:rsidRDefault="001F2927" w:rsidP="001F2927">
      <w:pPr>
        <w:pStyle w:val="ad"/>
        <w:rPr>
          <w:rFonts w:ascii="David" w:hAnsi="David" w:cs="David"/>
          <w:sz w:val="24"/>
          <w:szCs w:val="24"/>
        </w:rPr>
      </w:pPr>
    </w:p>
    <w:p w:rsidR="001F2927" w:rsidRDefault="001F2927" w:rsidP="001F2927">
      <w:pPr>
        <w:pStyle w:val="ad"/>
        <w:spacing w:line="360" w:lineRule="auto"/>
        <w:ind w:left="755"/>
        <w:jc w:val="both"/>
        <w:rPr>
          <w:rFonts w:ascii="David" w:hAnsi="David" w:cs="David"/>
          <w:sz w:val="24"/>
          <w:szCs w:val="24"/>
          <w:rtl/>
        </w:rPr>
      </w:pPr>
      <w:r>
        <w:rPr>
          <w:rFonts w:ascii="David" w:hAnsi="David" w:cs="David"/>
          <w:sz w:val="24"/>
          <w:szCs w:val="24"/>
          <w:rtl/>
        </w:rPr>
        <w:t xml:space="preserve">בפועל התברר (ור' סעיפים 12 ו-14 לתצהיר </w:t>
      </w:r>
      <w:r>
        <w:rPr>
          <w:rFonts w:ascii="David" w:hAnsi="David" w:cs="David"/>
          <w:sz w:val="24"/>
          <w:szCs w:val="24"/>
          <w:u w:val="single"/>
          <w:rtl/>
        </w:rPr>
        <w:t>הנתבע 1 עצמו</w:t>
      </w:r>
      <w:r>
        <w:rPr>
          <w:rFonts w:ascii="David" w:hAnsi="David" w:cs="David"/>
          <w:sz w:val="24"/>
          <w:szCs w:val="24"/>
          <w:rtl/>
        </w:rPr>
        <w:t xml:space="preserve">) שבמקביל להודעות אלה, הרי בחודש </w:t>
      </w:r>
      <w:r>
        <w:rPr>
          <w:rFonts w:ascii="David" w:hAnsi="David" w:cs="David"/>
          <w:sz w:val="24"/>
          <w:szCs w:val="24"/>
          <w:u w:val="single"/>
          <w:rtl/>
        </w:rPr>
        <w:t>יוני 2020</w:t>
      </w:r>
      <w:r>
        <w:rPr>
          <w:rFonts w:ascii="David" w:hAnsi="David" w:cs="David"/>
          <w:sz w:val="24"/>
          <w:szCs w:val="24"/>
          <w:rtl/>
        </w:rPr>
        <w:t xml:space="preserve"> סיירו הנתבעים 1-2 עם מתווכת חדשה שהציגה להם לרכוש מחצית מקומה 28 בבנין המגורים ברחוב ארלוזורוב בתל אביב. הנתבעים 1-2 הגישו הצעה לרכישה, וזו לא התקבלה. כך או בסופו של יום הנתבעים 1-2 החליטו לרכוש את כל קומה 28 כנגד הסך של 84,000,000 ₪ וזאת </w:t>
      </w:r>
      <w:r>
        <w:rPr>
          <w:rFonts w:ascii="David" w:hAnsi="David" w:cs="David"/>
          <w:sz w:val="24"/>
          <w:szCs w:val="24"/>
          <w:u w:val="single"/>
          <w:rtl/>
        </w:rPr>
        <w:t>מבלי לערב את התובע</w:t>
      </w:r>
      <w:r>
        <w:rPr>
          <w:rFonts w:ascii="David" w:hAnsi="David" w:cs="David"/>
          <w:sz w:val="24"/>
          <w:szCs w:val="24"/>
          <w:rtl/>
        </w:rPr>
        <w:t xml:space="preserve">. יתרה מכך, התובעים הפנו לכך שפנו למתווכת נוספת בטענה שזו תיווכה בעסקה שיצאה בסופו של יום לפועל וטענו שההחלטה התקבלה במהלך חודש </w:t>
      </w:r>
      <w:r>
        <w:rPr>
          <w:rFonts w:ascii="David" w:hAnsi="David" w:cs="David"/>
          <w:sz w:val="24"/>
          <w:szCs w:val="24"/>
          <w:u w:val="single"/>
          <w:rtl/>
        </w:rPr>
        <w:t>דצמבר 2020</w:t>
      </w:r>
      <w:r>
        <w:rPr>
          <w:rFonts w:ascii="David" w:hAnsi="David" w:cs="David"/>
          <w:sz w:val="24"/>
          <w:szCs w:val="24"/>
          <w:rtl/>
        </w:rPr>
        <w:t xml:space="preserve"> (סעיף 17 לתצהיר הנתבע 1). </w:t>
      </w:r>
    </w:p>
    <w:p w:rsidR="001F2927" w:rsidRDefault="001F2927" w:rsidP="001F2927">
      <w:pPr>
        <w:pStyle w:val="ad"/>
        <w:rPr>
          <w:rFonts w:ascii="David" w:hAnsi="David" w:cs="David"/>
          <w:sz w:val="24"/>
          <w:szCs w:val="24"/>
          <w:rtl/>
        </w:rPr>
      </w:pPr>
    </w:p>
    <w:p w:rsidR="001F2927" w:rsidRDefault="001F2927" w:rsidP="001F2927">
      <w:pPr>
        <w:pStyle w:val="ad"/>
        <w:numPr>
          <w:ilvl w:val="0"/>
          <w:numId w:val="2"/>
        </w:numPr>
        <w:spacing w:line="360" w:lineRule="auto"/>
        <w:jc w:val="both"/>
        <w:rPr>
          <w:rFonts w:ascii="David" w:hAnsi="David" w:cs="David"/>
          <w:sz w:val="24"/>
          <w:szCs w:val="24"/>
          <w:rtl/>
        </w:rPr>
      </w:pPr>
      <w:r>
        <w:rPr>
          <w:rFonts w:ascii="David" w:hAnsi="David" w:cs="David"/>
          <w:sz w:val="24"/>
          <w:szCs w:val="24"/>
          <w:rtl/>
        </w:rPr>
        <w:t>התובע היה בקשר עם הנתבעים 1-2 ואף ידע שרכשו נכס אך לא ידע שמדובר בנכס שהוצג להם כטענתו, על ידיו. לאחר שנודע לתובע, מפרסומים בתקשורת, אודות הנכס שנרכש – הוא פנה בדרישה לתשלום דמי תיווך. הנתבעים 1-2 סירבו לשלם דמי התיווך ואף הגדילו לעשות וטענו (במכתב ב"כ מיום 22/3/2021) שהסכם התיווך לא נחתם על ידם אלא "החתימה האלקטרונית רשומה על שם מר אורן בן משה", חתנם – בעלה של ביתם, הנתבעת 3.</w:t>
      </w:r>
    </w:p>
    <w:p w:rsidR="001F2927" w:rsidRDefault="001F2927" w:rsidP="001F2927">
      <w:pPr>
        <w:pStyle w:val="ad"/>
        <w:rPr>
          <w:rFonts w:ascii="David" w:hAnsi="David" w:cs="David"/>
          <w:sz w:val="24"/>
          <w:szCs w:val="24"/>
        </w:rPr>
      </w:pPr>
    </w:p>
    <w:p w:rsidR="001F2927" w:rsidRDefault="001F2927" w:rsidP="001F2927">
      <w:pPr>
        <w:pStyle w:val="ad"/>
        <w:numPr>
          <w:ilvl w:val="0"/>
          <w:numId w:val="2"/>
        </w:numPr>
        <w:spacing w:line="360" w:lineRule="auto"/>
        <w:jc w:val="both"/>
        <w:rPr>
          <w:rFonts w:ascii="David" w:hAnsi="David" w:cs="David"/>
          <w:sz w:val="24"/>
          <w:szCs w:val="24"/>
          <w:rtl/>
        </w:rPr>
      </w:pPr>
      <w:r>
        <w:rPr>
          <w:rFonts w:ascii="David" w:hAnsi="David" w:cs="David"/>
          <w:sz w:val="24"/>
          <w:szCs w:val="24"/>
          <w:rtl/>
        </w:rPr>
        <w:t>סירובם של הנתבעים לשאת בדמי התיווך הביא להגשת התביעה כאן. זו המחלוקת ומכאן פסק הדין.</w:t>
      </w:r>
    </w:p>
    <w:p w:rsidR="001F2927" w:rsidRDefault="001F2927" w:rsidP="001F2927">
      <w:pPr>
        <w:pStyle w:val="ad"/>
        <w:spacing w:line="360" w:lineRule="auto"/>
        <w:ind w:left="395"/>
        <w:jc w:val="both"/>
        <w:rPr>
          <w:rFonts w:ascii="David" w:hAnsi="David" w:cs="David"/>
          <w:sz w:val="24"/>
          <w:szCs w:val="24"/>
        </w:rPr>
      </w:pPr>
    </w:p>
    <w:p w:rsidR="001F2927" w:rsidRDefault="001F2927" w:rsidP="001F2927">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מי ומי בהליך</w:t>
      </w:r>
    </w:p>
    <w:p w:rsidR="001F2927" w:rsidRDefault="001F2927" w:rsidP="001F2927">
      <w:pPr>
        <w:pStyle w:val="ad"/>
        <w:numPr>
          <w:ilvl w:val="0"/>
          <w:numId w:val="3"/>
        </w:numPr>
        <w:spacing w:line="360" w:lineRule="auto"/>
        <w:jc w:val="both"/>
        <w:rPr>
          <w:rFonts w:ascii="David" w:hAnsi="David" w:cs="David"/>
          <w:sz w:val="24"/>
          <w:szCs w:val="24"/>
        </w:rPr>
      </w:pPr>
      <w:r>
        <w:rPr>
          <w:rFonts w:ascii="David" w:hAnsi="David" w:cs="David"/>
          <w:sz w:val="24"/>
          <w:szCs w:val="24"/>
          <w:u w:val="single"/>
          <w:rtl/>
        </w:rPr>
        <w:t>התובע</w:t>
      </w:r>
      <w:r>
        <w:rPr>
          <w:rFonts w:ascii="David" w:hAnsi="David" w:cs="David"/>
          <w:sz w:val="24"/>
          <w:szCs w:val="24"/>
          <w:rtl/>
        </w:rPr>
        <w:t xml:space="preserve"> - התובע הוא, כאמור, מתווך במקרקעין.</w:t>
      </w:r>
    </w:p>
    <w:p w:rsidR="001F2927" w:rsidRDefault="001F2927" w:rsidP="001F2927">
      <w:pPr>
        <w:pStyle w:val="ad"/>
        <w:spacing w:line="360" w:lineRule="auto"/>
        <w:ind w:left="755"/>
        <w:jc w:val="both"/>
        <w:rPr>
          <w:rFonts w:ascii="David" w:hAnsi="David" w:cs="David"/>
          <w:sz w:val="24"/>
          <w:szCs w:val="24"/>
        </w:rPr>
      </w:pPr>
    </w:p>
    <w:p w:rsidR="001F2927" w:rsidRDefault="001F2927" w:rsidP="001F2927">
      <w:pPr>
        <w:pStyle w:val="ad"/>
        <w:numPr>
          <w:ilvl w:val="0"/>
          <w:numId w:val="3"/>
        </w:numPr>
        <w:spacing w:line="360" w:lineRule="auto"/>
        <w:jc w:val="both"/>
        <w:rPr>
          <w:rFonts w:ascii="David" w:hAnsi="David" w:cs="David"/>
          <w:sz w:val="24"/>
          <w:szCs w:val="24"/>
        </w:rPr>
      </w:pPr>
      <w:r>
        <w:rPr>
          <w:rFonts w:ascii="David" w:hAnsi="David" w:cs="David"/>
          <w:sz w:val="24"/>
          <w:szCs w:val="24"/>
          <w:u w:val="single"/>
          <w:rtl/>
        </w:rPr>
        <w:t>הנתבעים 1-4</w:t>
      </w:r>
      <w:r>
        <w:rPr>
          <w:rFonts w:ascii="David" w:hAnsi="David" w:cs="David"/>
          <w:sz w:val="24"/>
          <w:szCs w:val="24"/>
          <w:rtl/>
        </w:rPr>
        <w:t xml:space="preserve"> - הנתבעים 1 ו-2 הם רוכשי נכס אשר כנטען התובע זכאי לדמי תיווך בגינו. הנתבעת 3 היא ביתם שחתמה על הסכם התיווך ועל כך עוד יורחב בהמשך. הנתבע 4, בעלה של הנתבעת 3,  שורבב להליך במקור על ידי הנתבעים 1 ו-2, כאשר אלה התכחשו להסכם התיווך וטענו שהחתימה האלקטרונית שייכת לו.</w:t>
      </w:r>
    </w:p>
    <w:p w:rsidR="001F2927" w:rsidRDefault="001F2927" w:rsidP="001F2927">
      <w:pPr>
        <w:pStyle w:val="ad"/>
        <w:rPr>
          <w:rFonts w:ascii="David" w:hAnsi="David" w:cs="David"/>
          <w:sz w:val="24"/>
          <w:szCs w:val="24"/>
        </w:rPr>
      </w:pPr>
    </w:p>
    <w:p w:rsidR="001F2927" w:rsidRDefault="001F2927" w:rsidP="001F2927">
      <w:pPr>
        <w:pStyle w:val="ad"/>
        <w:numPr>
          <w:ilvl w:val="0"/>
          <w:numId w:val="3"/>
        </w:numPr>
        <w:spacing w:line="360" w:lineRule="auto"/>
        <w:jc w:val="both"/>
        <w:rPr>
          <w:rFonts w:ascii="David" w:hAnsi="David" w:cs="David"/>
          <w:sz w:val="24"/>
          <w:szCs w:val="24"/>
          <w:rtl/>
        </w:rPr>
      </w:pPr>
      <w:r>
        <w:rPr>
          <w:rFonts w:ascii="David" w:hAnsi="David" w:cs="David"/>
          <w:sz w:val="24"/>
          <w:szCs w:val="24"/>
          <w:u w:val="single"/>
          <w:rtl/>
        </w:rPr>
        <w:t>שש העדויות שנשמעו</w:t>
      </w:r>
      <w:r>
        <w:rPr>
          <w:rFonts w:ascii="David" w:hAnsi="David" w:cs="David"/>
          <w:sz w:val="24"/>
          <w:szCs w:val="24"/>
          <w:rtl/>
        </w:rPr>
        <w:t xml:space="preserve"> -  במסגרת הדיון העידו שישה עדים, אחד מטעם התביעה וחמישה מטעם ההגנה. מטעם התובע העיד התובע בלבד; מטעם הנתבעים העידו ארבעת הנתבעים וכן גב' טליה וייץ, מתווכת מקרקעין שסייעה ותיווכה כנטען ברכישת קומה 28 בבנין המגורים. </w:t>
      </w:r>
    </w:p>
    <w:p w:rsidR="001F2927" w:rsidRDefault="001F2927" w:rsidP="001F2927">
      <w:pPr>
        <w:pStyle w:val="ad"/>
        <w:spacing w:line="360" w:lineRule="auto"/>
        <w:ind w:left="-739"/>
        <w:jc w:val="both"/>
        <w:rPr>
          <w:rFonts w:ascii="David" w:hAnsi="David" w:cs="David"/>
          <w:sz w:val="24"/>
          <w:szCs w:val="24"/>
          <w:rtl/>
        </w:rPr>
      </w:pPr>
    </w:p>
    <w:p w:rsidR="001F2927" w:rsidRDefault="001F2927" w:rsidP="001F2927">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שלוש השאלות העיקריות בהן יש להכריע</w:t>
      </w:r>
    </w:p>
    <w:p w:rsidR="001F2927" w:rsidRDefault="001F2927" w:rsidP="001F2927">
      <w:pPr>
        <w:pStyle w:val="ad"/>
        <w:spacing w:line="360" w:lineRule="auto"/>
        <w:ind w:left="-172"/>
        <w:jc w:val="both"/>
        <w:rPr>
          <w:rFonts w:ascii="David" w:hAnsi="David" w:cs="David"/>
          <w:sz w:val="24"/>
          <w:szCs w:val="24"/>
        </w:rPr>
      </w:pPr>
      <w:r>
        <w:rPr>
          <w:rFonts w:ascii="David" w:hAnsi="David" w:cs="David"/>
          <w:sz w:val="24"/>
          <w:szCs w:val="24"/>
          <w:rtl/>
        </w:rPr>
        <w:t>במסגרת ההליך יהיה צורך להכריע בשלוש  השאלות הבאות, וכן בשאלות משנה שיעלו במסגרת בירורן:</w:t>
      </w:r>
    </w:p>
    <w:p w:rsidR="001F2927" w:rsidRDefault="001F2927" w:rsidP="001F2927">
      <w:pPr>
        <w:pStyle w:val="ad"/>
        <w:spacing w:line="360" w:lineRule="auto"/>
        <w:ind w:left="-172"/>
        <w:jc w:val="both"/>
        <w:rPr>
          <w:rFonts w:ascii="David" w:hAnsi="David" w:cs="David"/>
          <w:sz w:val="24"/>
          <w:szCs w:val="24"/>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sz w:val="24"/>
          <w:szCs w:val="24"/>
          <w:u w:val="single"/>
          <w:rtl/>
        </w:rPr>
        <w:lastRenderedPageBreak/>
        <w:t>שאלה ראשונה משלוש</w:t>
      </w:r>
      <w:r>
        <w:rPr>
          <w:rFonts w:ascii="David" w:hAnsi="David" w:cs="David"/>
          <w:sz w:val="24"/>
          <w:szCs w:val="24"/>
          <w:rtl/>
        </w:rPr>
        <w:t xml:space="preserve"> - האם נקשר הסכם תיווך מחייב ומה משמעות חתימת הנתבעת 3 על הסכם התיווך?</w:t>
      </w:r>
    </w:p>
    <w:p w:rsidR="001F2927" w:rsidRDefault="001F2927" w:rsidP="001F2927">
      <w:pPr>
        <w:pStyle w:val="ad"/>
        <w:spacing w:line="360" w:lineRule="auto"/>
        <w:ind w:left="536"/>
        <w:jc w:val="both"/>
        <w:rPr>
          <w:rFonts w:ascii="David" w:hAnsi="David" w:cs="David"/>
          <w:sz w:val="24"/>
          <w:szCs w:val="24"/>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sz w:val="24"/>
          <w:szCs w:val="24"/>
          <w:u w:val="single"/>
          <w:rtl/>
        </w:rPr>
        <w:t>שאלה שניה משלוש</w:t>
      </w:r>
      <w:r>
        <w:rPr>
          <w:rFonts w:ascii="David" w:hAnsi="David" w:cs="David"/>
          <w:sz w:val="24"/>
          <w:szCs w:val="24"/>
          <w:rtl/>
        </w:rPr>
        <w:t xml:space="preserve"> – ככל שייקבע שאכן נקשר הסכם תיווך - האם התובע זכאי לדמי תיווך? ככל שהתשובה חיובית והתובע אכן זכאי לדמי תיווך, מה סכום דמי התיווך לו הוא זכאי?</w:t>
      </w:r>
    </w:p>
    <w:p w:rsidR="001F2927" w:rsidRDefault="001F2927" w:rsidP="001F2927">
      <w:pPr>
        <w:pStyle w:val="ad"/>
        <w:rPr>
          <w:rFonts w:ascii="David" w:hAnsi="David" w:cs="David"/>
          <w:sz w:val="24"/>
          <w:szCs w:val="24"/>
        </w:rPr>
      </w:pPr>
    </w:p>
    <w:p w:rsidR="001F2927" w:rsidRDefault="001F2927" w:rsidP="001F2927">
      <w:pPr>
        <w:pStyle w:val="ad"/>
        <w:numPr>
          <w:ilvl w:val="1"/>
          <w:numId w:val="1"/>
        </w:numPr>
        <w:spacing w:line="360" w:lineRule="auto"/>
        <w:ind w:left="536" w:hanging="708"/>
        <w:jc w:val="both"/>
        <w:rPr>
          <w:rFonts w:ascii="David" w:hAnsi="David" w:cs="David"/>
          <w:sz w:val="24"/>
          <w:szCs w:val="24"/>
          <w:rtl/>
        </w:rPr>
      </w:pPr>
      <w:r>
        <w:rPr>
          <w:rFonts w:ascii="David" w:hAnsi="David" w:cs="David"/>
          <w:sz w:val="24"/>
          <w:szCs w:val="24"/>
          <w:rtl/>
        </w:rPr>
        <w:t xml:space="preserve"> </w:t>
      </w:r>
      <w:r>
        <w:rPr>
          <w:rFonts w:ascii="David" w:hAnsi="David" w:cs="David"/>
          <w:sz w:val="24"/>
          <w:szCs w:val="24"/>
          <w:u w:val="single"/>
          <w:rtl/>
        </w:rPr>
        <w:t>שאלה שלישית משלוש</w:t>
      </w:r>
      <w:r>
        <w:rPr>
          <w:rFonts w:ascii="David" w:hAnsi="David" w:cs="David"/>
          <w:sz w:val="24"/>
          <w:szCs w:val="24"/>
          <w:rtl/>
        </w:rPr>
        <w:t xml:space="preserve"> – כיצד להתייחס לטענות הנתבעים באשר ל"היעדר בלעדיות" לתובע וכן ביחס לתקופת הזמן שחלפה ממועד הסכם התיווך הנטען ועד למועד הרכישה על ידי הנתבעים</w:t>
      </w:r>
      <w:r>
        <w:rPr>
          <w:rFonts w:ascii="David" w:hAnsi="David" w:cs="David" w:hint="cs"/>
          <w:sz w:val="24"/>
          <w:szCs w:val="24"/>
          <w:rtl/>
        </w:rPr>
        <w:t>?</w:t>
      </w:r>
    </w:p>
    <w:p w:rsidR="001F2927" w:rsidRDefault="001F2927" w:rsidP="001F2927">
      <w:pPr>
        <w:pStyle w:val="ad"/>
        <w:rPr>
          <w:rFonts w:ascii="David" w:hAnsi="David" w:cs="David"/>
          <w:sz w:val="24"/>
          <w:szCs w:val="24"/>
        </w:rPr>
      </w:pPr>
    </w:p>
    <w:p w:rsidR="001F2927" w:rsidRDefault="001F2927" w:rsidP="001F2927">
      <w:pPr>
        <w:pStyle w:val="ad"/>
        <w:spacing w:line="360" w:lineRule="auto"/>
        <w:ind w:left="-172"/>
        <w:jc w:val="both"/>
        <w:rPr>
          <w:rFonts w:ascii="David" w:hAnsi="David" w:cs="David"/>
          <w:sz w:val="24"/>
          <w:szCs w:val="24"/>
          <w:rtl/>
        </w:rPr>
      </w:pPr>
      <w:r>
        <w:rPr>
          <w:rFonts w:ascii="David" w:hAnsi="David" w:cs="David"/>
          <w:sz w:val="24"/>
          <w:szCs w:val="24"/>
          <w:rtl/>
        </w:rPr>
        <w:t>בנוסף ולפני סיום פסק הדין אתייחס לנושאים שונים שעלו במסגרת ההליך, כגון טענה לפיה הסכם התיווך הוא הסכם אחיד עם תנאים מקפחים, טענות ביחס לתשלום למתווכת נוספת וכן טענות נוספות.</w:t>
      </w:r>
    </w:p>
    <w:p w:rsidR="001F2927" w:rsidRDefault="001F2927" w:rsidP="001F2927">
      <w:pPr>
        <w:spacing w:line="360" w:lineRule="auto"/>
        <w:jc w:val="both"/>
        <w:rPr>
          <w:rFonts w:ascii="David" w:hAnsi="David"/>
          <w:rtl/>
        </w:rPr>
      </w:pPr>
    </w:p>
    <w:p w:rsidR="001F2927" w:rsidRDefault="001F2927" w:rsidP="001F2927">
      <w:pPr>
        <w:pStyle w:val="ad"/>
        <w:spacing w:line="360" w:lineRule="auto"/>
        <w:ind w:left="-739"/>
        <w:jc w:val="both"/>
        <w:rPr>
          <w:rFonts w:ascii="David" w:hAnsi="David" w:cs="David"/>
          <w:b/>
          <w:bCs/>
          <w:sz w:val="32"/>
          <w:szCs w:val="32"/>
          <w:u w:val="single"/>
          <w:rtl/>
        </w:rPr>
      </w:pPr>
      <w:r>
        <w:rPr>
          <w:rFonts w:ascii="David" w:hAnsi="David" w:cs="David"/>
          <w:b/>
          <w:bCs/>
          <w:sz w:val="32"/>
          <w:szCs w:val="32"/>
          <w:u w:val="single"/>
          <w:rtl/>
        </w:rPr>
        <w:t xml:space="preserve">חלק שני – דיון והכרעה </w:t>
      </w:r>
    </w:p>
    <w:p w:rsidR="001F2927" w:rsidRDefault="001F2927" w:rsidP="001F2927">
      <w:pPr>
        <w:pStyle w:val="ad"/>
        <w:spacing w:line="360" w:lineRule="auto"/>
        <w:ind w:left="-739"/>
        <w:jc w:val="both"/>
        <w:rPr>
          <w:rFonts w:ascii="David" w:hAnsi="David" w:cs="David"/>
          <w:sz w:val="24"/>
          <w:szCs w:val="24"/>
          <w:rtl/>
        </w:rPr>
      </w:pPr>
    </w:p>
    <w:p w:rsidR="001F2927" w:rsidRDefault="001F2927" w:rsidP="001F2927">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שאלה ראשונה משלוש - האם נקשר הסכם תיווך מחייב ומה משמעות חתימת הנתבעת 3 על הסכם התיווך?</w:t>
      </w: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sz w:val="24"/>
          <w:szCs w:val="24"/>
          <w:rtl/>
        </w:rPr>
        <w:t>התובע הציג הסכם תיווך מפורש עליו מתנוססת מספר פעמים חתימתה של הנתבעת 3, ביתם של הנתבעות 1 ו-2. כאן המקום לציין שהנתבעים ניסו לטעון גם ביחס לחתימה זו ולאחר מכן חזרו באים מכך. ניסיונות אלה לאו דווקא תרמו לאמינותם ואמינות גרסתם. על כך ארחיב בסעיפים 3.2-3.3 להלן.</w:t>
      </w:r>
    </w:p>
    <w:p w:rsidR="001F2927" w:rsidRDefault="001F2927" w:rsidP="001F2927">
      <w:pPr>
        <w:pStyle w:val="ad"/>
        <w:spacing w:line="360" w:lineRule="auto"/>
        <w:ind w:left="536"/>
        <w:jc w:val="both"/>
        <w:rPr>
          <w:rFonts w:ascii="David" w:hAnsi="David" w:cs="David"/>
          <w:sz w:val="24"/>
          <w:szCs w:val="24"/>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בתחילה – הנתבעים מנסים לטעון כנגד החתימה על הסכם התיווך</w:t>
      </w:r>
      <w:r>
        <w:rPr>
          <w:rFonts w:ascii="David" w:hAnsi="David" w:cs="David"/>
          <w:sz w:val="24"/>
          <w:szCs w:val="24"/>
          <w:rtl/>
        </w:rPr>
        <w:t xml:space="preserve"> - הנתבעים, בניסיונם לחמוק מהתביעה, הערימו טענות ביחס לחתימה על הסכם התיווך. כבר במכתב הראשון בו ניסו לחמוק מתשלום הודיעו הנתבעים באמצעות ב"כ כך (סעיף 10 למכתב ב"כ הנתבעים 1-2 מיום 22/3/2021, נספח 8 לתצהיר התובע, ההדגשות לא במקור):</w:t>
      </w:r>
    </w:p>
    <w:p w:rsidR="001F2927" w:rsidRDefault="001F2927" w:rsidP="001F2927">
      <w:pPr>
        <w:pStyle w:val="ad"/>
        <w:spacing w:line="360" w:lineRule="auto"/>
        <w:ind w:left="2160"/>
        <w:jc w:val="both"/>
        <w:rPr>
          <w:rFonts w:ascii="David" w:hAnsi="David" w:cs="David"/>
          <w:b/>
          <w:bCs/>
          <w:sz w:val="24"/>
          <w:szCs w:val="24"/>
        </w:rPr>
      </w:pPr>
      <w:r>
        <w:rPr>
          <w:rFonts w:ascii="David" w:hAnsi="David" w:cs="David"/>
          <w:b/>
          <w:bCs/>
          <w:sz w:val="24"/>
          <w:szCs w:val="24"/>
          <w:rtl/>
        </w:rPr>
        <w:t>"בבחינת למעלה מהדרוש, אף לא ניתן להתעלם מהעובדה הפשוטה שהמסמך עליו מרשך מבסס טיעונו, כעולה מס' 2 למכתבך, הנו מסמך ש</w:t>
      </w:r>
      <w:r>
        <w:rPr>
          <w:rFonts w:ascii="David" w:hAnsi="David" w:cs="David"/>
          <w:b/>
          <w:bCs/>
          <w:sz w:val="24"/>
          <w:szCs w:val="24"/>
          <w:u w:val="single"/>
          <w:rtl/>
        </w:rPr>
        <w:t>כלל לא נחתם על ידי מרשיי</w:t>
      </w:r>
      <w:r>
        <w:rPr>
          <w:rFonts w:ascii="David" w:hAnsi="David" w:cs="David"/>
          <w:b/>
          <w:bCs/>
          <w:sz w:val="24"/>
          <w:szCs w:val="24"/>
          <w:rtl/>
        </w:rPr>
        <w:t xml:space="preserve"> והחתימה האלקטרונית עליו (</w:t>
      </w:r>
      <w:r>
        <w:rPr>
          <w:rFonts w:ascii="David" w:hAnsi="David" w:cs="David"/>
          <w:b/>
          <w:bCs/>
          <w:sz w:val="24"/>
          <w:szCs w:val="24"/>
          <w:u w:val="single"/>
          <w:rtl/>
        </w:rPr>
        <w:t>שנסיבותיה כלל אינן ברורות</w:t>
      </w:r>
      <w:r>
        <w:rPr>
          <w:rFonts w:ascii="David" w:hAnsi="David" w:cs="David"/>
          <w:b/>
          <w:bCs/>
          <w:sz w:val="24"/>
          <w:szCs w:val="24"/>
          <w:rtl/>
        </w:rPr>
        <w:t xml:space="preserve">) רשומה על שם מר אורן בר משה בעלה של גב' טניה לאו, שלא הוא ולא גב' טניה לאו הנם צדדים להסכם ההתקשרות ברכישת המקרקעין. למותר לציין כי העדר מסמך בכתב בין מרשך לבין מרשיי, כמצוות ס' 9 לחוק המתווכים, אף שולל מיניה וביה כל טיעוני מרשך. יתירה מזו, כאמור לעיל, עסקינן במסמך לא בלעדי ולכן, אף אם תמצי לומר כי זה עונה על דרישת הכתב, הרי שגם מטעם זה ברור כי למרשי היתה הזכות לרכוש הנכס באמצעות מתווך אחר שהציג להם אותו"   </w:t>
      </w:r>
    </w:p>
    <w:p w:rsidR="001F2927" w:rsidRDefault="001F2927" w:rsidP="001F2927">
      <w:pPr>
        <w:pStyle w:val="ad"/>
        <w:spacing w:line="360" w:lineRule="auto"/>
        <w:ind w:left="1440"/>
        <w:jc w:val="both"/>
        <w:rPr>
          <w:rFonts w:ascii="David" w:hAnsi="David" w:cs="David"/>
          <w:sz w:val="24"/>
          <w:szCs w:val="24"/>
          <w:rtl/>
        </w:rPr>
      </w:pPr>
    </w:p>
    <w:p w:rsidR="001F2927" w:rsidRDefault="001F2927" w:rsidP="001F2927">
      <w:pPr>
        <w:pStyle w:val="ad"/>
        <w:spacing w:line="360" w:lineRule="auto"/>
        <w:jc w:val="both"/>
        <w:rPr>
          <w:rFonts w:ascii="David" w:hAnsi="David" w:cs="David"/>
          <w:sz w:val="24"/>
          <w:szCs w:val="24"/>
          <w:rtl/>
        </w:rPr>
      </w:pPr>
      <w:r>
        <w:rPr>
          <w:rFonts w:ascii="David" w:hAnsi="David" w:cs="David"/>
          <w:sz w:val="24"/>
          <w:szCs w:val="24"/>
          <w:rtl/>
        </w:rPr>
        <w:lastRenderedPageBreak/>
        <w:t>הנתבעים היו כה נחושים לחמוק מתשלום ולהכחיש קיומו של הסכם תיווך, עד אשר גם בכתב ההגנה לא היססו להכחיש ברי"ש  גלי קיומו של הסכם מחייב, וכלשונם (סעיף 4.1 לכתב ההגנה):</w:t>
      </w:r>
    </w:p>
    <w:p w:rsidR="001F2927" w:rsidRDefault="001F2927" w:rsidP="001F2927">
      <w:pPr>
        <w:pStyle w:val="ad"/>
        <w:spacing w:line="360" w:lineRule="auto"/>
        <w:ind w:left="2160" w:hanging="1440"/>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 xml:space="preserve">"טענת התובע לקיומו של הסכם תיווך בינו לבין כלל הנתבעים </w:t>
      </w:r>
      <w:r>
        <w:rPr>
          <w:rFonts w:ascii="David" w:hAnsi="David" w:cs="David"/>
          <w:b/>
          <w:bCs/>
          <w:sz w:val="24"/>
          <w:szCs w:val="24"/>
          <w:u w:val="single"/>
          <w:rtl/>
        </w:rPr>
        <w:t>מוכחשת</w:t>
      </w:r>
      <w:r>
        <w:rPr>
          <w:rFonts w:ascii="David" w:hAnsi="David" w:cs="David"/>
          <w:b/>
          <w:bCs/>
          <w:sz w:val="24"/>
          <w:szCs w:val="24"/>
          <w:rtl/>
        </w:rPr>
        <w:t xml:space="preserve">, כעולה בין היתר מהאמור בהסכם גופו; הנתבעים 1-2 שחתמו על הסכם הרכישה </w:t>
      </w:r>
      <w:r>
        <w:rPr>
          <w:rFonts w:ascii="David" w:hAnsi="David" w:cs="David"/>
          <w:b/>
          <w:bCs/>
          <w:sz w:val="24"/>
          <w:szCs w:val="24"/>
          <w:u w:val="single"/>
          <w:rtl/>
        </w:rPr>
        <w:t>אינם</w:t>
      </w:r>
      <w:r>
        <w:rPr>
          <w:rFonts w:ascii="David" w:hAnsi="David" w:cs="David"/>
          <w:b/>
          <w:bCs/>
          <w:sz w:val="24"/>
          <w:szCs w:val="24"/>
          <w:rtl/>
        </w:rPr>
        <w:t xml:space="preserve"> חתומים על מסמך התיווך (הנתבעים 3-4 כלל לא צד להסכם הרכישה); מסמך התיווך אף לא נחתם על ידי כלל הנתבעים כנגדם הוגשה התביעה ומטעם זה אף אינו עומד בדרישות הדין להסכם בכתב" </w:t>
      </w:r>
    </w:p>
    <w:p w:rsidR="001F2927" w:rsidRDefault="001F2927" w:rsidP="001F2927">
      <w:pPr>
        <w:pStyle w:val="ad"/>
        <w:spacing w:line="360" w:lineRule="auto"/>
        <w:ind w:left="1440"/>
        <w:jc w:val="both"/>
        <w:rPr>
          <w:rFonts w:ascii="David" w:hAnsi="David" w:cs="David"/>
          <w:sz w:val="24"/>
          <w:szCs w:val="24"/>
          <w:rtl/>
        </w:rPr>
      </w:pPr>
      <w:r>
        <w:rPr>
          <w:rFonts w:ascii="David" w:hAnsi="David" w:cs="David"/>
          <w:sz w:val="24"/>
          <w:szCs w:val="24"/>
          <w:rtl/>
        </w:rPr>
        <w:t xml:space="preserve"> </w:t>
      </w:r>
    </w:p>
    <w:p w:rsidR="001F2927" w:rsidRDefault="001F2927" w:rsidP="001F2927">
      <w:pPr>
        <w:pStyle w:val="ad"/>
        <w:spacing w:line="360" w:lineRule="auto"/>
        <w:jc w:val="both"/>
        <w:rPr>
          <w:rFonts w:ascii="David" w:hAnsi="David" w:cs="David"/>
          <w:sz w:val="24"/>
          <w:szCs w:val="24"/>
          <w:rtl/>
        </w:rPr>
      </w:pPr>
      <w:r>
        <w:rPr>
          <w:rFonts w:ascii="David" w:hAnsi="David" w:cs="David"/>
          <w:sz w:val="24"/>
          <w:szCs w:val="24"/>
          <w:rtl/>
        </w:rPr>
        <w:t xml:space="preserve">ניסיונות ההתחמקות של הנתבעים חדלו כאשר הגיע שלה הגשת תצהיריהם. גם גרסתם השתנתה. הפעם כבר הודו הנתבעים 1-3 באופן חד משמעי שפעלו יחדיו. הפעם כבאר לא הרהיבו הנתבעים 1-2 להפנות את חיציהם לחתימה אלקטרונית של הנתבע 4. הפעם הודו הנתבעים 1-3, שהנתבעת 3 חתמה על הסכם התיווך תוך שהיא פועלת עבור ובשליחות הוריה – הנתבעים 1-2. על כך בפסקה הבאה. </w:t>
      </w:r>
    </w:p>
    <w:p w:rsidR="001F2927" w:rsidRDefault="001F2927" w:rsidP="001F2927">
      <w:pPr>
        <w:pStyle w:val="ad"/>
        <w:spacing w:line="360" w:lineRule="auto"/>
        <w:ind w:left="536"/>
        <w:jc w:val="both"/>
        <w:rPr>
          <w:rFonts w:ascii="David" w:hAnsi="David" w:cs="David"/>
          <w:sz w:val="24"/>
          <w:szCs w:val="24"/>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בהמשך – הנתבעים מודים בדבר החתימה על הסכם התיווך</w:t>
      </w:r>
    </w:p>
    <w:p w:rsidR="001F2927" w:rsidRDefault="001F2927" w:rsidP="001F2927">
      <w:pPr>
        <w:pStyle w:val="ad"/>
        <w:numPr>
          <w:ilvl w:val="0"/>
          <w:numId w:val="4"/>
        </w:numPr>
        <w:spacing w:line="360" w:lineRule="auto"/>
        <w:jc w:val="both"/>
        <w:rPr>
          <w:rFonts w:ascii="David" w:hAnsi="David" w:cs="David"/>
          <w:sz w:val="24"/>
          <w:szCs w:val="24"/>
        </w:rPr>
      </w:pPr>
      <w:r>
        <w:rPr>
          <w:rFonts w:ascii="David" w:hAnsi="David" w:cs="David"/>
          <w:sz w:val="24"/>
          <w:szCs w:val="24"/>
          <w:rtl/>
        </w:rPr>
        <w:t>כפי שצוין לעיל, בשלב הגשת תצהירי העדות הראשית השתנתה מעט גרסת הנתבעים. כפי שצוין – הנתבעים כבר לא הכחישו קיומה של חתימה על הסכם התיווך. וכך הצהיר הנתבע 1 (סעיפים 4-5 לתצהירו. הציטוט הוא מהנוסח בעברית שהוגש במקביל לתצהיר המנוסח וחתום באנגלית, ההדגשות לא במקור):</w:t>
      </w:r>
    </w:p>
    <w:p w:rsidR="001F2927" w:rsidRDefault="001F2927" w:rsidP="00692726">
      <w:pPr>
        <w:spacing w:line="360" w:lineRule="auto"/>
        <w:ind w:left="1785"/>
        <w:jc w:val="both"/>
        <w:rPr>
          <w:rFonts w:ascii="David" w:hAnsi="David"/>
          <w:b/>
          <w:bCs/>
        </w:rPr>
      </w:pPr>
      <w:r>
        <w:rPr>
          <w:rFonts w:ascii="David" w:hAnsi="David"/>
          <w:b/>
          <w:bCs/>
          <w:rtl/>
        </w:rPr>
        <w:t xml:space="preserve">"... בראשית שנת 2019, אשתי הנתבעת 2(להלן: "קרול")  ביקשה מהבת שלנו, הנתבעת 3 (להלן: "טניה") לאתר לקרול ולי דירה לשכירות או אולי לרכישה בתל אביב. כפי שנמסר לי, לשם איתור הדירה </w:t>
      </w:r>
      <w:r>
        <w:rPr>
          <w:rFonts w:ascii="David" w:hAnsi="David"/>
          <w:b/>
          <w:bCs/>
          <w:u w:val="single"/>
          <w:rtl/>
        </w:rPr>
        <w:t>טניה יצרה קשר עם הרבה מתווכים ובכללם התובע</w:t>
      </w:r>
      <w:r>
        <w:rPr>
          <w:rFonts w:ascii="David" w:hAnsi="David"/>
          <w:b/>
          <w:bCs/>
          <w:rtl/>
        </w:rPr>
        <w:t xml:space="preserve"> אשר הצביע על מספר נכסים..."</w:t>
      </w:r>
    </w:p>
    <w:p w:rsidR="001F2927" w:rsidRDefault="001F2927" w:rsidP="001F2927">
      <w:pPr>
        <w:pStyle w:val="ad"/>
        <w:spacing w:line="360" w:lineRule="auto"/>
        <w:ind w:left="896"/>
        <w:jc w:val="both"/>
        <w:rPr>
          <w:rFonts w:ascii="David" w:hAnsi="David" w:cs="David"/>
          <w:b/>
          <w:bCs/>
          <w:sz w:val="24"/>
          <w:szCs w:val="24"/>
          <w:rtl/>
        </w:rPr>
      </w:pPr>
      <w:r>
        <w:rPr>
          <w:rFonts w:ascii="David" w:hAnsi="David" w:cs="David"/>
          <w:sz w:val="24"/>
          <w:szCs w:val="24"/>
          <w:rtl/>
        </w:rPr>
        <w:t>ובהמשך הוסיף הנתבע 1 והצהיר:</w:t>
      </w:r>
    </w:p>
    <w:p w:rsidR="001F2927" w:rsidRDefault="001F2927" w:rsidP="00692726">
      <w:pPr>
        <w:spacing w:line="360" w:lineRule="auto"/>
        <w:ind w:left="1785" w:hanging="2160"/>
        <w:jc w:val="both"/>
        <w:rPr>
          <w:rFonts w:ascii="David" w:hAnsi="David"/>
          <w:rtl/>
        </w:rPr>
      </w:pPr>
      <w:r>
        <w:rPr>
          <w:rFonts w:ascii="David" w:hAnsi="David"/>
          <w:b/>
          <w:bCs/>
          <w:rtl/>
        </w:rPr>
        <w:tab/>
        <w:t xml:space="preserve">"יצוין כי התובע שלח לטניה מסמך שכותרתו </w:t>
      </w:r>
      <w:r>
        <w:rPr>
          <w:rFonts w:ascii="David" w:hAnsi="David"/>
          <w:b/>
          <w:bCs/>
        </w:rPr>
        <w:t>"Commissioning of Real-Estate brokerage services"</w:t>
      </w:r>
      <w:r>
        <w:rPr>
          <w:rFonts w:ascii="David" w:hAnsi="David"/>
          <w:b/>
          <w:bCs/>
          <w:rtl/>
        </w:rPr>
        <w:t xml:space="preserve"> (</w:t>
      </w:r>
      <w:r>
        <w:rPr>
          <w:rFonts w:ascii="David" w:hAnsi="David"/>
          <w:b/>
          <w:bCs/>
          <w:u w:val="single"/>
          <w:rtl/>
        </w:rPr>
        <w:t>להלן: מסמך התיווך")</w:t>
      </w:r>
      <w:r>
        <w:rPr>
          <w:rFonts w:ascii="David" w:hAnsi="David"/>
          <w:b/>
          <w:bCs/>
          <w:rtl/>
        </w:rPr>
        <w:t xml:space="preserve"> עליו </w:t>
      </w:r>
      <w:r>
        <w:rPr>
          <w:rFonts w:ascii="David" w:hAnsi="David"/>
          <w:b/>
          <w:bCs/>
          <w:u w:val="single"/>
          <w:rtl/>
        </w:rPr>
        <w:t>היא חתמה</w:t>
      </w:r>
      <w:r>
        <w:rPr>
          <w:rFonts w:ascii="David" w:hAnsi="David"/>
          <w:b/>
          <w:bCs/>
          <w:rtl/>
        </w:rPr>
        <w:t xml:space="preserve"> אלקטרונית באמצעות הטלפון של בעלה, הנתבע 4. לפי הבנתי, מדובר היה במסמך אחיד שתנאיו נקבעו מראש על ידי התובע ואשר משמש אותו להתקשרות עם לקוחות. המסמך להבנתי אינו כולל בלעדיות לתובע ביחס לנכסים שהציג"</w:t>
      </w:r>
      <w:r>
        <w:rPr>
          <w:rFonts w:ascii="David" w:hAnsi="David"/>
          <w:rtl/>
        </w:rPr>
        <w:t xml:space="preserve"> </w:t>
      </w:r>
    </w:p>
    <w:p w:rsidR="001F2927" w:rsidRDefault="001F2927" w:rsidP="001F2927">
      <w:pPr>
        <w:pStyle w:val="ad"/>
        <w:spacing w:line="360" w:lineRule="auto"/>
        <w:ind w:left="896"/>
        <w:jc w:val="both"/>
        <w:rPr>
          <w:rFonts w:ascii="David" w:hAnsi="David" w:cs="David"/>
          <w:sz w:val="24"/>
          <w:szCs w:val="24"/>
          <w:rtl/>
        </w:rPr>
      </w:pPr>
    </w:p>
    <w:p w:rsidR="001F2927" w:rsidRDefault="001F2927" w:rsidP="001F2927">
      <w:pPr>
        <w:pStyle w:val="ad"/>
        <w:numPr>
          <w:ilvl w:val="0"/>
          <w:numId w:val="4"/>
        </w:numPr>
        <w:spacing w:line="360" w:lineRule="auto"/>
        <w:jc w:val="both"/>
        <w:rPr>
          <w:rFonts w:ascii="David" w:hAnsi="David" w:cs="David"/>
          <w:sz w:val="24"/>
          <w:szCs w:val="24"/>
        </w:rPr>
      </w:pPr>
      <w:r>
        <w:rPr>
          <w:rFonts w:ascii="David" w:hAnsi="David" w:cs="David"/>
          <w:sz w:val="24"/>
          <w:szCs w:val="24"/>
          <w:rtl/>
        </w:rPr>
        <w:t>גם הנתבעת 2 הצטרפה לגרסה המעודכנת שאינה מתכחשת לחתימה ואינה תואמת ל"נסיבות לא ברורות" – בניגוד לטענה המקורית של הנתבעים במכתב בא כוחם מיום 22/3/2021 (ר' סעי, 3.2 לעיל). גם הנתבעת 2 הצהירה באופן זהה לתצהירו של הנתבע 1 לענין זה – כך בסעיפים 4-5 לתצהירה.</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4"/>
        </w:numPr>
        <w:spacing w:line="360" w:lineRule="auto"/>
        <w:jc w:val="both"/>
        <w:rPr>
          <w:rFonts w:ascii="David" w:hAnsi="David" w:cs="David"/>
          <w:sz w:val="24"/>
          <w:szCs w:val="24"/>
        </w:rPr>
      </w:pPr>
      <w:r>
        <w:rPr>
          <w:rFonts w:ascii="David" w:hAnsi="David" w:cs="David"/>
          <w:sz w:val="24"/>
          <w:szCs w:val="24"/>
          <w:rtl/>
        </w:rPr>
        <w:lastRenderedPageBreak/>
        <w:t>הנתבעת 3 הוסיפה</w:t>
      </w:r>
      <w:r>
        <w:rPr>
          <w:rFonts w:ascii="David" w:hAnsi="David" w:cs="David" w:hint="cs"/>
          <w:sz w:val="24"/>
          <w:szCs w:val="24"/>
          <w:rtl/>
        </w:rPr>
        <w:t xml:space="preserve"> אף היא</w:t>
      </w:r>
      <w:r>
        <w:rPr>
          <w:rFonts w:ascii="David" w:hAnsi="David" w:cs="David"/>
          <w:sz w:val="24"/>
          <w:szCs w:val="24"/>
          <w:rtl/>
        </w:rPr>
        <w:t xml:space="preserve"> מצידה והצהירה כי התבקשה לאתר נכס עבור הוריה ולצד זאת אף חיפשה דירות להשכרה עבור חבריה. הנתבעת 3 הודתה שפנתה אל התובע. עוד הוסיפה והודתה הנתבעת 3 על כך שחתמה על הסכם התיווך וכלשונה (סעיף 3 לתצהירה: </w:t>
      </w:r>
      <w:r>
        <w:rPr>
          <w:rFonts w:ascii="David" w:hAnsi="David" w:cs="David"/>
          <w:b/>
          <w:bCs/>
          <w:sz w:val="24"/>
          <w:szCs w:val="24"/>
          <w:rtl/>
        </w:rPr>
        <w:t xml:space="preserve">"ביחס לנכסים אלו שלח אלי התובע מסמך שכותרתו </w:t>
      </w:r>
      <w:r>
        <w:rPr>
          <w:rFonts w:ascii="David" w:hAnsi="David" w:cs="David"/>
          <w:b/>
          <w:bCs/>
          <w:sz w:val="24"/>
          <w:szCs w:val="24"/>
        </w:rPr>
        <w:t>"Commissioning of Real-Estate brokerage services"</w:t>
      </w:r>
      <w:r>
        <w:rPr>
          <w:rFonts w:ascii="David" w:hAnsi="David" w:cs="David"/>
          <w:b/>
          <w:bCs/>
          <w:sz w:val="24"/>
          <w:szCs w:val="24"/>
          <w:rtl/>
        </w:rPr>
        <w:t xml:space="preserve"> עליו חתמתי באמצעות הטלפון של בעלי, הנתבע 4 (</w:t>
      </w:r>
      <w:r>
        <w:rPr>
          <w:rFonts w:ascii="David" w:hAnsi="David" w:cs="David"/>
          <w:b/>
          <w:bCs/>
          <w:sz w:val="24"/>
          <w:szCs w:val="24"/>
          <w:u w:val="single"/>
          <w:rtl/>
        </w:rPr>
        <w:t>"מסמך התיווך")</w:t>
      </w:r>
      <w:r>
        <w:rPr>
          <w:rFonts w:ascii="David" w:hAnsi="David" w:cs="David"/>
          <w:b/>
          <w:bCs/>
          <w:sz w:val="24"/>
          <w:szCs w:val="24"/>
          <w:rtl/>
        </w:rPr>
        <w:t>. לפי הבנתי, מדובר היה במסמך אחיד שתנאיו נקבעו מראש על ידי התובע ואשר משמש אותו להתקשרות עם לקוחות. המסמך להבנתי אינו כולל בלעדיות לתובע ביחס לנכסים שהציג"</w:t>
      </w:r>
      <w:r>
        <w:rPr>
          <w:rFonts w:ascii="David" w:hAnsi="David" w:cs="David"/>
          <w:sz w:val="24"/>
          <w:szCs w:val="24"/>
          <w:rtl/>
        </w:rPr>
        <w:t xml:space="preserve"> </w:t>
      </w:r>
    </w:p>
    <w:p w:rsidR="001F2927" w:rsidRDefault="001F2927" w:rsidP="001F2927">
      <w:pPr>
        <w:pStyle w:val="ad"/>
        <w:spacing w:line="360" w:lineRule="auto"/>
        <w:ind w:left="536"/>
        <w:jc w:val="both"/>
        <w:rPr>
          <w:rFonts w:ascii="David" w:hAnsi="David" w:cs="David"/>
          <w:sz w:val="24"/>
          <w:szCs w:val="24"/>
          <w:rtl/>
        </w:rPr>
      </w:pPr>
    </w:p>
    <w:p w:rsidR="001F2927" w:rsidRDefault="001F2927" w:rsidP="001F2927">
      <w:pPr>
        <w:pStyle w:val="ad"/>
        <w:numPr>
          <w:ilvl w:val="1"/>
          <w:numId w:val="1"/>
        </w:numPr>
        <w:spacing w:line="360" w:lineRule="auto"/>
        <w:ind w:left="536" w:hanging="708"/>
        <w:jc w:val="both"/>
        <w:rPr>
          <w:rFonts w:ascii="David" w:hAnsi="David" w:cs="David"/>
          <w:b/>
          <w:bCs/>
          <w:sz w:val="24"/>
          <w:szCs w:val="24"/>
          <w:u w:val="single"/>
        </w:rPr>
      </w:pPr>
      <w:r>
        <w:rPr>
          <w:rFonts w:ascii="David" w:hAnsi="David" w:cs="David" w:hint="cs"/>
          <w:b/>
          <w:bCs/>
          <w:sz w:val="24"/>
          <w:szCs w:val="24"/>
          <w:u w:val="single"/>
          <w:rtl/>
        </w:rPr>
        <w:t>סוף דבר ביחס ל</w:t>
      </w:r>
      <w:r>
        <w:rPr>
          <w:rFonts w:ascii="David" w:hAnsi="David" w:cs="David"/>
          <w:b/>
          <w:bCs/>
          <w:sz w:val="24"/>
          <w:szCs w:val="24"/>
          <w:u w:val="single"/>
          <w:rtl/>
        </w:rPr>
        <w:t>שאלה הראשונה משלוש - הדיון באשר לקיומו של הסכם תיווך והתייחסות לכך שהנתבעת 3 חתמה על ההסכם</w:t>
      </w:r>
    </w:p>
    <w:p w:rsidR="001F2927" w:rsidRDefault="001F2927" w:rsidP="001F2927">
      <w:pPr>
        <w:pStyle w:val="ad"/>
        <w:numPr>
          <w:ilvl w:val="0"/>
          <w:numId w:val="5"/>
        </w:numPr>
        <w:spacing w:line="360" w:lineRule="auto"/>
        <w:jc w:val="both"/>
        <w:rPr>
          <w:rFonts w:ascii="David" w:hAnsi="David" w:cs="David"/>
          <w:sz w:val="24"/>
          <w:szCs w:val="24"/>
        </w:rPr>
      </w:pPr>
      <w:r>
        <w:rPr>
          <w:rFonts w:ascii="David" w:hAnsi="David" w:cs="David"/>
          <w:sz w:val="24"/>
          <w:szCs w:val="24"/>
          <w:rtl/>
        </w:rPr>
        <w:t>מכל האמור לעיל עולה תמונה ברורה. התובע אכן שלח והחתים את הנתבעים על הסכם תיווך מחייב. נכון הוא שהחתימה בפועל היתה של הנתבעת 3 בלבד, ואולם מתצהיריהם של הנתבעים 1,2 וגם הנתבעת 3 – עולה בבירור שהחתימה היתה גם בשמם ועבורם.</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5"/>
        </w:numPr>
        <w:spacing w:after="0" w:line="330" w:lineRule="atLeast"/>
        <w:jc w:val="both"/>
        <w:rPr>
          <w:rFonts w:ascii="David" w:hAnsi="David" w:cs="David"/>
          <w:color w:val="000000"/>
          <w:sz w:val="24"/>
          <w:szCs w:val="24"/>
        </w:rPr>
      </w:pPr>
      <w:r>
        <w:rPr>
          <w:rFonts w:ascii="David" w:hAnsi="David" w:cs="David"/>
          <w:sz w:val="24"/>
          <w:szCs w:val="24"/>
          <w:rtl/>
        </w:rPr>
        <w:t>בשולי הדברים אציין שאין כל רבותא בכך שהסכם התיווך נחתם על ידי הנתבעת 3 ואילו הסכם הרכישה נחתם על ידי הנתבעים 1 ו-2. על מנת שמתווך יהיה זכאי לדמי תיווך הרי עליו להחתים את הלקוח על הסכם כאמור, ורש סעיף 9(א) לחוק המתווכים במקרקעין, תשנ"ו – 1996 הקובע כי -</w:t>
      </w:r>
      <w:r>
        <w:rPr>
          <w:rFonts w:ascii="David" w:hAnsi="David" w:cs="David"/>
          <w:b/>
          <w:bCs/>
          <w:color w:val="000000"/>
          <w:rtl/>
        </w:rPr>
        <w:t xml:space="preserve"> </w:t>
      </w:r>
      <w:r>
        <w:rPr>
          <w:rFonts w:ascii="David" w:hAnsi="David" w:cs="David"/>
          <w:b/>
          <w:bCs/>
          <w:color w:val="000000"/>
          <w:sz w:val="24"/>
          <w:szCs w:val="24"/>
          <w:rtl/>
        </w:rPr>
        <w:t>"מתווך במקרקעין לא יהא זכאי לדמי תיווך, אלא אם כן חתם הלקוח על הזמנה בכתב לביצוע פעולת תיווך במקרקעין, שבה נכללו כל הפרטים שקבע השר, באישור ועדת הפנים והגנת הסביבה"</w:t>
      </w:r>
      <w:r>
        <w:rPr>
          <w:rFonts w:ascii="David" w:hAnsi="David" w:cs="David"/>
          <w:color w:val="000000"/>
          <w:sz w:val="24"/>
          <w:szCs w:val="24"/>
          <w:rtl/>
        </w:rPr>
        <w:t>.</w:t>
      </w:r>
    </w:p>
    <w:p w:rsidR="001F2927" w:rsidRDefault="001F2927" w:rsidP="001F2927">
      <w:pPr>
        <w:pStyle w:val="ad"/>
        <w:rPr>
          <w:rFonts w:ascii="David" w:hAnsi="David" w:cs="David"/>
          <w:color w:val="000000"/>
          <w:sz w:val="24"/>
          <w:szCs w:val="24"/>
        </w:rPr>
      </w:pPr>
    </w:p>
    <w:p w:rsidR="001F2927" w:rsidRDefault="001F2927" w:rsidP="001F2927">
      <w:pPr>
        <w:pStyle w:val="ad"/>
        <w:spacing w:after="0" w:line="330" w:lineRule="atLeast"/>
        <w:ind w:left="896"/>
        <w:jc w:val="both"/>
        <w:rPr>
          <w:rFonts w:ascii="David" w:hAnsi="David" w:cs="David"/>
          <w:color w:val="000000"/>
          <w:rtl/>
        </w:rPr>
      </w:pPr>
      <w:r>
        <w:rPr>
          <w:rFonts w:ascii="David" w:hAnsi="David" w:cs="David"/>
          <w:color w:val="000000"/>
          <w:sz w:val="24"/>
          <w:szCs w:val="24"/>
          <w:rtl/>
        </w:rPr>
        <w:t xml:space="preserve">אין כל חובה שהחתימה על הסכם התיווך תהיה דווקא של האדם שבסופו של יום אף חתם על הסכם הרכישה, הגם שיש בכך הגיון. לענין זה חוק המתווכים במקרקעין הגדיר לקוח כ - </w:t>
      </w:r>
      <w:r>
        <w:rPr>
          <w:rFonts w:ascii="David" w:hAnsi="David" w:cs="David"/>
          <w:bCs/>
          <w:color w:val="000000"/>
          <w:szCs w:val="24"/>
          <w:rtl/>
        </w:rPr>
        <w:t>"צד להסכם עם מתווך במקרקעין לקבלת שירותיו, בין אם הוא משלם דמי תיווך ובין אם לאו"</w:t>
      </w:r>
      <w:r>
        <w:rPr>
          <w:rFonts w:ascii="David" w:hAnsi="David" w:cs="David"/>
          <w:color w:val="000000"/>
          <w:szCs w:val="24"/>
          <w:rtl/>
        </w:rPr>
        <w:t>.</w:t>
      </w:r>
    </w:p>
    <w:p w:rsidR="001F2927" w:rsidRDefault="001F2927" w:rsidP="001F2927">
      <w:pPr>
        <w:pStyle w:val="ad"/>
        <w:spacing w:after="0" w:line="330" w:lineRule="atLeast"/>
        <w:ind w:left="896"/>
        <w:jc w:val="both"/>
        <w:rPr>
          <w:rFonts w:ascii="David" w:hAnsi="David" w:cs="David"/>
          <w:color w:val="000000"/>
          <w:sz w:val="24"/>
          <w:szCs w:val="24"/>
          <w:rtl/>
        </w:rPr>
      </w:pPr>
    </w:p>
    <w:p w:rsidR="001F2927" w:rsidRDefault="001F2927" w:rsidP="001F2927">
      <w:pPr>
        <w:pStyle w:val="ad"/>
        <w:spacing w:after="0" w:line="330" w:lineRule="atLeast"/>
        <w:ind w:left="896"/>
        <w:jc w:val="both"/>
        <w:rPr>
          <w:rFonts w:ascii="David" w:hAnsi="David" w:cs="David"/>
          <w:sz w:val="24"/>
          <w:szCs w:val="24"/>
          <w:rtl/>
        </w:rPr>
      </w:pPr>
      <w:r>
        <w:rPr>
          <w:rFonts w:ascii="David" w:hAnsi="David" w:cs="David"/>
          <w:color w:val="000000"/>
          <w:sz w:val="24"/>
          <w:szCs w:val="24"/>
          <w:rtl/>
        </w:rPr>
        <w:t>לכל אלה אוסיף ש</w:t>
      </w:r>
      <w:r>
        <w:rPr>
          <w:rFonts w:ascii="David" w:hAnsi="David" w:cs="David"/>
          <w:color w:val="000000"/>
          <w:szCs w:val="24"/>
          <w:rtl/>
        </w:rPr>
        <w:t>אף מכח דיני השליחות ניתן לקבל טענה לפיה הסכם התיווך אכן מחייב. לענין זה ר' ע"א 1796/10, ‏</w:t>
      </w:r>
      <w:r>
        <w:rPr>
          <w:rFonts w:ascii="David" w:hAnsi="David" w:cs="David"/>
          <w:color w:val="000000"/>
          <w:szCs w:val="24"/>
          <w:u w:val="single"/>
          <w:rtl/>
        </w:rPr>
        <w:t>שרה כתבן נ' בנק ירושלים בע"מ</w:t>
      </w:r>
      <w:r>
        <w:rPr>
          <w:rFonts w:ascii="David" w:hAnsi="David" w:cs="David"/>
          <w:color w:val="000000"/>
          <w:szCs w:val="24"/>
          <w:rtl/>
        </w:rPr>
        <w:t> </w:t>
      </w:r>
      <w:r>
        <w:rPr>
          <w:rFonts w:ascii="David" w:hAnsi="David" w:cs="David"/>
          <w:color w:val="000000"/>
          <w:szCs w:val="24"/>
        </w:rPr>
        <w:t>[</w:t>
      </w:r>
      <w:r>
        <w:rPr>
          <w:rFonts w:ascii="David" w:hAnsi="David" w:cs="David"/>
          <w:color w:val="000000"/>
          <w:szCs w:val="24"/>
          <w:rtl/>
        </w:rPr>
        <w:t xml:space="preserve"> (מיום 7/12/2011, הש' א' גרוניס, א' רובינשטיין, י' דנציגר) שם נקבע כי </w:t>
      </w:r>
      <w:r>
        <w:rPr>
          <w:rFonts w:ascii="David" w:hAnsi="David" w:cs="David"/>
          <w:b/>
          <w:bCs/>
          <w:color w:val="000000"/>
          <w:szCs w:val="24"/>
          <w:rtl/>
        </w:rPr>
        <w:t>"במקרים בהם מוסקת באופן סביר על ידי צד ג' שליחות מכוח מצג, עסקינן בקיומה של הרשאה הלכה למעשה"</w:t>
      </w:r>
      <w:r>
        <w:rPr>
          <w:rFonts w:ascii="David" w:hAnsi="David" w:cs="David"/>
          <w:color w:val="000000"/>
          <w:szCs w:val="24"/>
          <w:rtl/>
        </w:rPr>
        <w:t>. עוד ר' ע"א 4880/19,</w:t>
      </w:r>
      <w:r>
        <w:rPr>
          <w:rFonts w:ascii="David" w:hAnsi="David" w:cs="David"/>
          <w:color w:val="000000"/>
          <w:szCs w:val="24"/>
        </w:rPr>
        <w:t>, </w:t>
      </w:r>
      <w:r>
        <w:rPr>
          <w:rFonts w:ascii="David" w:hAnsi="David" w:cs="David"/>
          <w:color w:val="000000"/>
          <w:szCs w:val="24"/>
          <w:u w:val="single"/>
          <w:rtl/>
        </w:rPr>
        <w:t>הבנק הבינלאומי הראשון בע"מ נ' שושנה (רוזה) גזונטהייט</w:t>
      </w:r>
      <w:r>
        <w:rPr>
          <w:rFonts w:ascii="David" w:hAnsi="David" w:cs="David"/>
          <w:color w:val="000000"/>
          <w:szCs w:val="24"/>
          <w:rtl/>
        </w:rPr>
        <w:t>, (מיום 18/7/2022, הש' ג' קרא, ע' גרוסקופף, א' שטיין</w:t>
      </w:r>
      <w:r>
        <w:rPr>
          <w:rFonts w:ascii="David" w:hAnsi="David" w:cs="David"/>
          <w:color w:val="000000"/>
          <w:szCs w:val="24"/>
        </w:rPr>
        <w:t>(</w:t>
      </w:r>
      <w:r>
        <w:rPr>
          <w:rFonts w:ascii="David" w:hAnsi="David" w:cs="David"/>
          <w:sz w:val="24"/>
          <w:szCs w:val="24"/>
          <w:rtl/>
        </w:rPr>
        <w:t xml:space="preserve"> - לרבות סקירת פסיקת בתי המשפט וההלכות המשפטיות המובאת שם.</w:t>
      </w:r>
    </w:p>
    <w:p w:rsidR="001F2927" w:rsidRDefault="001F2927" w:rsidP="001F2927">
      <w:pPr>
        <w:pStyle w:val="ad"/>
        <w:spacing w:line="360" w:lineRule="auto"/>
        <w:ind w:left="-739"/>
        <w:jc w:val="both"/>
        <w:rPr>
          <w:rFonts w:ascii="David" w:hAnsi="David" w:cs="David"/>
          <w:b/>
          <w:bCs/>
          <w:sz w:val="24"/>
          <w:szCs w:val="24"/>
          <w:rtl/>
        </w:rPr>
      </w:pPr>
    </w:p>
    <w:p w:rsidR="001F2927" w:rsidRDefault="001F2927" w:rsidP="001F2927">
      <w:pPr>
        <w:pStyle w:val="ad"/>
        <w:spacing w:line="360" w:lineRule="auto"/>
        <w:ind w:left="-739"/>
        <w:jc w:val="both"/>
        <w:rPr>
          <w:rFonts w:ascii="David" w:hAnsi="David" w:cs="David"/>
          <w:b/>
          <w:bCs/>
          <w:sz w:val="24"/>
          <w:szCs w:val="24"/>
          <w:rtl/>
        </w:rPr>
      </w:pPr>
    </w:p>
    <w:p w:rsidR="001F2927" w:rsidRDefault="001F2927" w:rsidP="001F2927">
      <w:pPr>
        <w:pStyle w:val="ad"/>
        <w:spacing w:line="360" w:lineRule="auto"/>
        <w:ind w:left="-739"/>
        <w:jc w:val="both"/>
        <w:rPr>
          <w:rFonts w:ascii="David" w:hAnsi="David" w:cs="David"/>
          <w:b/>
          <w:bCs/>
          <w:sz w:val="24"/>
          <w:szCs w:val="24"/>
          <w:rtl/>
        </w:rPr>
      </w:pPr>
      <w:r>
        <w:rPr>
          <w:rFonts w:ascii="David" w:hAnsi="David" w:cs="David"/>
          <w:b/>
          <w:bCs/>
          <w:sz w:val="24"/>
          <w:szCs w:val="24"/>
          <w:rtl/>
        </w:rPr>
        <w:t>הערת מעבר – משנקבע שאכן נחתם הסכם תיווך מחייב – יש לדון בשאלה האם התובע זכאי לדמי תיווך וככך שהתשובה חיובית – מה היקפם. על כך בפסקה הבאה.</w:t>
      </w:r>
    </w:p>
    <w:p w:rsidR="001F2927" w:rsidRDefault="001F2927" w:rsidP="001F2927">
      <w:pPr>
        <w:pStyle w:val="ad"/>
        <w:spacing w:line="360" w:lineRule="auto"/>
        <w:ind w:left="-739"/>
        <w:jc w:val="both"/>
        <w:rPr>
          <w:rFonts w:ascii="David" w:hAnsi="David" w:cs="David"/>
          <w:sz w:val="24"/>
          <w:szCs w:val="24"/>
          <w:rtl/>
        </w:rPr>
      </w:pPr>
    </w:p>
    <w:p w:rsidR="001F2927" w:rsidRDefault="001F2927" w:rsidP="001F2927">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שאלה שניה משלוש - האם התובע זכאי לדמי תיווך, ואם התשובה חיובית - מה סכום דמי התיווך לו הוא זכאי?</w:t>
      </w: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הוראות הסכם התיווך</w:t>
      </w:r>
    </w:p>
    <w:p w:rsidR="001F2927" w:rsidRDefault="001F2927" w:rsidP="001F2927">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הסכם התיווך כלל ארבעה נכסים שונים. לעניינינו ניתן להפנות שההסכם כלל גם את קומה 28 בבנין ברחוב ארלוזורוב. בהתאם להסכם התיווך, הנכס שהוצג הוא בשטח של 362 מ"ר בתוספת מרפסת בטח של 56 מ"ר וזאת בכיוונים – </w:t>
      </w:r>
      <w:r>
        <w:rPr>
          <w:rFonts w:ascii="David" w:hAnsi="David" w:cs="David"/>
          <w:sz w:val="24"/>
          <w:szCs w:val="24"/>
          <w:u w:val="single"/>
          <w:rtl/>
        </w:rPr>
        <w:t>צפון</w:t>
      </w:r>
      <w:r>
        <w:rPr>
          <w:rFonts w:ascii="David" w:hAnsi="David" w:cs="David"/>
          <w:sz w:val="24"/>
          <w:szCs w:val="24"/>
          <w:rtl/>
        </w:rPr>
        <w:t>, מערב ומזרח. המחיר המבוקש בגין הנכס נקבע על הסך של 65,000,000 ₪ (ששים וחמישה מיליון ₪).</w:t>
      </w:r>
    </w:p>
    <w:p w:rsidR="001F2927" w:rsidRDefault="001F2927" w:rsidP="001F2927">
      <w:pPr>
        <w:pStyle w:val="ad"/>
        <w:spacing w:line="360" w:lineRule="auto"/>
        <w:ind w:left="536"/>
        <w:jc w:val="both"/>
        <w:rPr>
          <w:rFonts w:ascii="David" w:hAnsi="David" w:cs="David"/>
          <w:sz w:val="24"/>
          <w:szCs w:val="24"/>
          <w:rtl/>
        </w:rPr>
      </w:pPr>
    </w:p>
    <w:p w:rsidR="001F2927" w:rsidRDefault="001F2927" w:rsidP="001F2927">
      <w:pPr>
        <w:pStyle w:val="ad"/>
        <w:numPr>
          <w:ilvl w:val="0"/>
          <w:numId w:val="6"/>
        </w:numPr>
        <w:spacing w:line="360" w:lineRule="auto"/>
        <w:jc w:val="both"/>
        <w:rPr>
          <w:rFonts w:ascii="David" w:hAnsi="David" w:cs="David"/>
          <w:sz w:val="24"/>
          <w:szCs w:val="24"/>
        </w:rPr>
      </w:pPr>
      <w:r>
        <w:rPr>
          <w:rFonts w:ascii="David" w:hAnsi="David" w:cs="David"/>
          <w:sz w:val="24"/>
          <w:szCs w:val="24"/>
          <w:rtl/>
        </w:rPr>
        <w:t>הסכם התיווך שנקשר עם התובע כלל (סעיפים 5-6 להסכם) שלושה תנאים אליהם התייחס התובע:</w:t>
      </w:r>
    </w:p>
    <w:p w:rsidR="001F2927" w:rsidRDefault="001F2927" w:rsidP="001F2927">
      <w:pPr>
        <w:pStyle w:val="ad"/>
        <w:numPr>
          <w:ilvl w:val="0"/>
          <w:numId w:val="7"/>
        </w:numPr>
        <w:spacing w:line="360" w:lineRule="auto"/>
        <w:ind w:left="1245"/>
        <w:jc w:val="both"/>
        <w:rPr>
          <w:rFonts w:ascii="David" w:hAnsi="David" w:cs="David"/>
          <w:sz w:val="24"/>
          <w:szCs w:val="24"/>
        </w:rPr>
      </w:pPr>
      <w:r>
        <w:rPr>
          <w:rFonts w:ascii="David" w:hAnsi="David" w:cs="David"/>
          <w:b/>
          <w:bCs/>
          <w:sz w:val="24"/>
          <w:szCs w:val="24"/>
          <w:u w:val="single"/>
          <w:rtl/>
        </w:rPr>
        <w:t>ראשית</w:t>
      </w:r>
      <w:r>
        <w:rPr>
          <w:rFonts w:ascii="David" w:hAnsi="David" w:cs="David"/>
          <w:sz w:val="24"/>
          <w:szCs w:val="24"/>
          <w:rtl/>
        </w:rPr>
        <w:t xml:space="preserve">, התחייבות לשלם לתובע סך של 2% מהמחיר הסופי שישולם בתוספת מע"מ; </w:t>
      </w:r>
    </w:p>
    <w:p w:rsidR="001F2927" w:rsidRDefault="001F2927" w:rsidP="001F2927">
      <w:pPr>
        <w:pStyle w:val="ad"/>
        <w:numPr>
          <w:ilvl w:val="0"/>
          <w:numId w:val="7"/>
        </w:numPr>
        <w:spacing w:line="360" w:lineRule="auto"/>
        <w:ind w:left="1245"/>
        <w:jc w:val="both"/>
        <w:rPr>
          <w:rFonts w:ascii="David" w:hAnsi="David" w:cs="David"/>
          <w:sz w:val="24"/>
          <w:szCs w:val="24"/>
        </w:rPr>
      </w:pPr>
      <w:r>
        <w:rPr>
          <w:rFonts w:ascii="David" w:hAnsi="David" w:cs="David"/>
          <w:b/>
          <w:bCs/>
          <w:sz w:val="24"/>
          <w:szCs w:val="24"/>
          <w:u w:val="single"/>
          <w:rtl/>
        </w:rPr>
        <w:t>שנית</w:t>
      </w:r>
      <w:r>
        <w:rPr>
          <w:rFonts w:ascii="David" w:hAnsi="David" w:cs="David"/>
          <w:sz w:val="24"/>
          <w:szCs w:val="24"/>
          <w:rtl/>
        </w:rPr>
        <w:t>, התחייבות לעדכן את התובע בכל התקדמות של עסקה;</w:t>
      </w:r>
    </w:p>
    <w:p w:rsidR="001F2927" w:rsidRDefault="001F2927" w:rsidP="001F2927">
      <w:pPr>
        <w:pStyle w:val="ad"/>
        <w:numPr>
          <w:ilvl w:val="0"/>
          <w:numId w:val="7"/>
        </w:numPr>
        <w:spacing w:line="360" w:lineRule="auto"/>
        <w:ind w:left="1245"/>
        <w:jc w:val="both"/>
        <w:rPr>
          <w:rFonts w:ascii="David" w:hAnsi="David" w:cs="David"/>
          <w:sz w:val="24"/>
          <w:szCs w:val="24"/>
        </w:rPr>
      </w:pPr>
      <w:r>
        <w:rPr>
          <w:rFonts w:ascii="David" w:hAnsi="David" w:cs="David"/>
          <w:b/>
          <w:bCs/>
          <w:sz w:val="24"/>
          <w:szCs w:val="24"/>
          <w:u w:val="single"/>
          <w:rtl/>
        </w:rPr>
        <w:t>שלישית</w:t>
      </w:r>
      <w:r>
        <w:rPr>
          <w:rFonts w:ascii="David" w:hAnsi="David" w:cs="David"/>
          <w:sz w:val="24"/>
          <w:szCs w:val="24"/>
          <w:rtl/>
        </w:rPr>
        <w:t xml:space="preserve">, התחייבות לעדכן כל צד הקשור לנכס, שזה הוצג כבר על ידי התובע; </w:t>
      </w:r>
    </w:p>
    <w:p w:rsidR="001F2927" w:rsidRDefault="001F2927" w:rsidP="001F2927">
      <w:pPr>
        <w:pStyle w:val="ad"/>
        <w:spacing w:line="360" w:lineRule="auto"/>
        <w:ind w:left="536"/>
        <w:jc w:val="both"/>
        <w:rPr>
          <w:rFonts w:ascii="David" w:hAnsi="David" w:cs="David"/>
          <w:b/>
          <w:bCs/>
          <w:sz w:val="24"/>
          <w:szCs w:val="24"/>
        </w:rPr>
      </w:pPr>
    </w:p>
    <w:p w:rsidR="001F2927" w:rsidRDefault="001F2927" w:rsidP="001F2927">
      <w:pPr>
        <w:pStyle w:val="ad"/>
        <w:numPr>
          <w:ilvl w:val="1"/>
          <w:numId w:val="1"/>
        </w:numPr>
        <w:spacing w:line="360" w:lineRule="auto"/>
        <w:ind w:left="536" w:hanging="708"/>
        <w:jc w:val="both"/>
        <w:rPr>
          <w:rFonts w:ascii="David" w:hAnsi="David" w:cs="David"/>
          <w:b/>
          <w:bCs/>
          <w:sz w:val="24"/>
          <w:szCs w:val="24"/>
        </w:rPr>
      </w:pPr>
      <w:r>
        <w:rPr>
          <w:rFonts w:ascii="David" w:hAnsi="David" w:cs="David"/>
          <w:b/>
          <w:bCs/>
          <w:sz w:val="24"/>
          <w:szCs w:val="24"/>
          <w:u w:val="single"/>
          <w:rtl/>
        </w:rPr>
        <w:t>הנתבעים 1 ו-2 רכשו בסופו של יום את הנכס שהוצג</w:t>
      </w:r>
    </w:p>
    <w:p w:rsidR="001F2927" w:rsidRDefault="001F2927" w:rsidP="001F2927">
      <w:pPr>
        <w:pStyle w:val="ad"/>
        <w:numPr>
          <w:ilvl w:val="0"/>
          <w:numId w:val="8"/>
        </w:numPr>
        <w:spacing w:line="360" w:lineRule="auto"/>
        <w:jc w:val="both"/>
        <w:rPr>
          <w:rFonts w:ascii="David" w:hAnsi="David" w:cs="David"/>
          <w:sz w:val="24"/>
          <w:szCs w:val="24"/>
        </w:rPr>
      </w:pPr>
      <w:r>
        <w:rPr>
          <w:rFonts w:ascii="David" w:hAnsi="David" w:cs="David"/>
          <w:sz w:val="24"/>
          <w:szCs w:val="24"/>
          <w:rtl/>
        </w:rPr>
        <w:t>אין חולק על כך שבסופו של יום רכשו הנתבעים 1 ו-2 את כל קומה 28 בבית המגורים, ובכללה רכשו גם את מחצית הקומה שהוצגה להם לראשונה על ידי התובע.</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8"/>
        </w:numPr>
        <w:spacing w:line="360" w:lineRule="auto"/>
        <w:jc w:val="both"/>
        <w:rPr>
          <w:rFonts w:ascii="David" w:hAnsi="David" w:cs="David"/>
          <w:sz w:val="24"/>
          <w:szCs w:val="24"/>
        </w:rPr>
      </w:pPr>
      <w:r>
        <w:rPr>
          <w:rFonts w:ascii="David" w:hAnsi="David" w:cs="David"/>
          <w:sz w:val="24"/>
          <w:szCs w:val="24"/>
          <w:rtl/>
        </w:rPr>
        <w:t>מתצהירי הנתבעים עולה שגם כאשר רכשו את כל קומה 28, הרי בתחילה הוצגה להם לרכישה רק מחצית הקומה. וכך הצהיר הנתבע 1 כיצד מתווכת חדשה לדבריו ("טליה") הציגה לו לרכישה את מחצית קומה 28 (סעיף 12 לתצהיר הנתבע 1 (ההדגשות לא במקור):</w:t>
      </w:r>
    </w:p>
    <w:p w:rsidR="001F2927" w:rsidRDefault="001F2927" w:rsidP="001F2927">
      <w:pPr>
        <w:pStyle w:val="ad"/>
        <w:spacing w:line="360" w:lineRule="auto"/>
        <w:ind w:left="2160"/>
        <w:jc w:val="both"/>
        <w:rPr>
          <w:rFonts w:ascii="David" w:hAnsi="David" w:cs="David"/>
          <w:b/>
          <w:bCs/>
          <w:sz w:val="24"/>
          <w:szCs w:val="24"/>
        </w:rPr>
      </w:pPr>
      <w:r>
        <w:rPr>
          <w:rFonts w:ascii="David" w:hAnsi="David" w:cs="David"/>
          <w:b/>
          <w:bCs/>
          <w:sz w:val="24"/>
          <w:szCs w:val="24"/>
          <w:rtl/>
        </w:rPr>
        <w:t>"</w:t>
      </w:r>
      <w:r>
        <w:rPr>
          <w:rFonts w:ascii="David" w:hAnsi="David" w:cs="David"/>
          <w:b/>
          <w:bCs/>
          <w:sz w:val="24"/>
          <w:szCs w:val="24"/>
          <w:u w:val="single"/>
          <w:rtl/>
        </w:rPr>
        <w:t>בתחילת חודש יוני 2020,</w:t>
      </w:r>
      <w:r>
        <w:rPr>
          <w:rFonts w:ascii="David" w:hAnsi="David" w:cs="David"/>
          <w:b/>
          <w:bCs/>
          <w:sz w:val="24"/>
          <w:szCs w:val="24"/>
          <w:rtl/>
        </w:rPr>
        <w:t xml:space="preserve"> טליה המתווכת ערכה לקרול ולי סיור ביחידה... המתווכת הציגה לנו את </w:t>
      </w:r>
      <w:r>
        <w:rPr>
          <w:rFonts w:ascii="David" w:hAnsi="David" w:cs="David"/>
          <w:b/>
          <w:bCs/>
          <w:sz w:val="24"/>
          <w:szCs w:val="24"/>
          <w:u w:val="single"/>
          <w:rtl/>
        </w:rPr>
        <w:t xml:space="preserve">המחצית הצפונית </w:t>
      </w:r>
      <w:r>
        <w:rPr>
          <w:rFonts w:ascii="David" w:hAnsi="David" w:cs="David"/>
          <w:b/>
          <w:bCs/>
          <w:sz w:val="24"/>
          <w:szCs w:val="24"/>
          <w:rtl/>
        </w:rPr>
        <w:t xml:space="preserve">של קומה ה-28 (ומספר קומות נוספות) כאשר במהלך הסיור הסתובבנו גם בכל הקומה, שכן מדובר היה בפרויקט בשלב המעטפת, בו הכל פתוח" </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spacing w:line="360" w:lineRule="auto"/>
        <w:ind w:left="896"/>
        <w:jc w:val="both"/>
        <w:rPr>
          <w:rFonts w:ascii="David" w:hAnsi="David" w:cs="David"/>
          <w:sz w:val="24"/>
          <w:szCs w:val="24"/>
          <w:rtl/>
        </w:rPr>
      </w:pPr>
      <w:r>
        <w:rPr>
          <w:rFonts w:ascii="David" w:hAnsi="David" w:cs="David"/>
          <w:sz w:val="24"/>
          <w:szCs w:val="24"/>
          <w:rtl/>
        </w:rPr>
        <w:t>גם הנתבעת 2 התייחסה לאירועי תחילת חודש יוני 2020 ולכך שהוצגה להם כטענתה, מחצית קומה 28 וכלשונה (סעיף 14 לתצהיר הנתבעת 2, ההדגשות לא במקור):</w:t>
      </w:r>
    </w:p>
    <w:p w:rsidR="001F2927" w:rsidRDefault="001F2927" w:rsidP="001F2927">
      <w:pPr>
        <w:pStyle w:val="ad"/>
        <w:spacing w:line="360" w:lineRule="auto"/>
        <w:ind w:left="2160" w:hanging="1264"/>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"טליה המתווכת הציגה לנו את המחצית הצפונית של קומת ה-28 (ומספר קומות נוספות) כאשר במהלך הסיור הסתובבנו גם בכל הקומה, שכן מדובר היה בפרוייקט בשלב מעטפת בו הכל פתוח"</w:t>
      </w:r>
    </w:p>
    <w:p w:rsidR="001F2927" w:rsidRDefault="001F2927" w:rsidP="001F2927">
      <w:pPr>
        <w:pStyle w:val="ad"/>
        <w:rPr>
          <w:rFonts w:ascii="David" w:hAnsi="David" w:cs="David"/>
          <w:sz w:val="24"/>
          <w:szCs w:val="24"/>
          <w:rtl/>
        </w:rPr>
      </w:pPr>
    </w:p>
    <w:p w:rsidR="001F2927" w:rsidRDefault="001F2927" w:rsidP="001F2927">
      <w:pPr>
        <w:pStyle w:val="ad"/>
        <w:rPr>
          <w:rFonts w:ascii="David" w:hAnsi="David" w:cs="David"/>
          <w:sz w:val="24"/>
          <w:szCs w:val="24"/>
          <w:rtl/>
        </w:rPr>
      </w:pPr>
    </w:p>
    <w:p w:rsidR="001F2927" w:rsidRDefault="001F2927" w:rsidP="001F2927">
      <w:pPr>
        <w:pStyle w:val="ad"/>
        <w:spacing w:line="360" w:lineRule="auto"/>
        <w:ind w:left="896"/>
        <w:jc w:val="both"/>
        <w:rPr>
          <w:rFonts w:ascii="David" w:hAnsi="David" w:cs="David"/>
          <w:sz w:val="24"/>
          <w:szCs w:val="24"/>
          <w:rtl/>
        </w:rPr>
      </w:pPr>
      <w:r>
        <w:rPr>
          <w:rFonts w:ascii="David" w:hAnsi="David" w:cs="David"/>
          <w:sz w:val="24"/>
          <w:szCs w:val="24"/>
          <w:rtl/>
        </w:rPr>
        <w:t xml:space="preserve">בהמשך (סעיף 14 לתצהיר) מפרט הנתבע 1 כיצד הגישו הצעה לרכישה ואולם זו היתה נמוכה </w:t>
      </w:r>
      <w:r>
        <w:rPr>
          <w:rFonts w:ascii="David" w:hAnsi="David" w:cs="David"/>
          <w:b/>
          <w:bCs/>
          <w:sz w:val="24"/>
          <w:szCs w:val="24"/>
          <w:rtl/>
        </w:rPr>
        <w:t>"והעסקה ירדה מן הפרק"</w:t>
      </w:r>
      <w:r>
        <w:rPr>
          <w:rFonts w:ascii="David" w:hAnsi="David" w:cs="David"/>
          <w:sz w:val="24"/>
          <w:szCs w:val="24"/>
          <w:rtl/>
        </w:rPr>
        <w:t xml:space="preserve">. </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8"/>
        </w:numPr>
        <w:spacing w:line="360" w:lineRule="auto"/>
        <w:jc w:val="both"/>
        <w:rPr>
          <w:rFonts w:ascii="David" w:hAnsi="David" w:cs="David"/>
          <w:sz w:val="24"/>
          <w:szCs w:val="24"/>
        </w:rPr>
      </w:pPr>
      <w:r>
        <w:rPr>
          <w:rFonts w:ascii="David" w:hAnsi="David" w:cs="David"/>
          <w:sz w:val="24"/>
          <w:szCs w:val="24"/>
          <w:rtl/>
        </w:rPr>
        <w:t>שני דברים ניתן ללמוד מתצהירי הנתבעים 1-2 ושניהם תומכים דווקא בעמדת התובע:</w:t>
      </w:r>
    </w:p>
    <w:p w:rsidR="001F2927" w:rsidRDefault="001F2927" w:rsidP="001F2927">
      <w:pPr>
        <w:pStyle w:val="ad"/>
        <w:spacing w:line="360" w:lineRule="auto"/>
        <w:ind w:left="1387"/>
        <w:jc w:val="both"/>
        <w:rPr>
          <w:rFonts w:ascii="David" w:hAnsi="David" w:cs="David"/>
          <w:sz w:val="24"/>
          <w:szCs w:val="24"/>
        </w:rPr>
      </w:pPr>
    </w:p>
    <w:p w:rsidR="001F2927" w:rsidRDefault="001F2927" w:rsidP="001F2927">
      <w:pPr>
        <w:pStyle w:val="ad"/>
        <w:numPr>
          <w:ilvl w:val="0"/>
          <w:numId w:val="7"/>
        </w:numPr>
        <w:spacing w:line="360" w:lineRule="auto"/>
        <w:ind w:left="1387"/>
        <w:jc w:val="both"/>
        <w:rPr>
          <w:rFonts w:ascii="David" w:hAnsi="David" w:cs="David"/>
          <w:sz w:val="24"/>
          <w:szCs w:val="24"/>
        </w:rPr>
      </w:pPr>
      <w:r>
        <w:rPr>
          <w:rFonts w:ascii="David" w:hAnsi="David" w:cs="David"/>
          <w:b/>
          <w:bCs/>
          <w:sz w:val="24"/>
          <w:szCs w:val="24"/>
          <w:u w:val="single"/>
          <w:rtl/>
        </w:rPr>
        <w:t>ראשית</w:t>
      </w:r>
      <w:r>
        <w:rPr>
          <w:rFonts w:ascii="David" w:hAnsi="David" w:cs="David"/>
          <w:sz w:val="24"/>
          <w:szCs w:val="24"/>
          <w:rtl/>
        </w:rPr>
        <w:t xml:space="preserve">, גם ההצגה המחודשת, כנטען על ידי מתווכת חדשה, היתה של מחצית מקומת המגורים. מחצית צפונית. בדומה למחצית הקומה הפונה לצפון, מערב ומזרח שהוצגה על ידי התובע. </w:t>
      </w:r>
    </w:p>
    <w:p w:rsidR="001F2927" w:rsidRDefault="001F2927" w:rsidP="001F2927">
      <w:pPr>
        <w:pStyle w:val="ad"/>
        <w:spacing w:line="360" w:lineRule="auto"/>
        <w:ind w:left="896"/>
        <w:jc w:val="both"/>
        <w:rPr>
          <w:rFonts w:ascii="David" w:hAnsi="David" w:cs="David"/>
          <w:sz w:val="24"/>
          <w:szCs w:val="24"/>
          <w:rtl/>
        </w:rPr>
      </w:pPr>
    </w:p>
    <w:p w:rsidR="001F2927" w:rsidRDefault="001F2927" w:rsidP="001F2927">
      <w:pPr>
        <w:pStyle w:val="ad"/>
        <w:numPr>
          <w:ilvl w:val="0"/>
          <w:numId w:val="7"/>
        </w:numPr>
        <w:spacing w:line="360" w:lineRule="auto"/>
        <w:ind w:left="1387"/>
        <w:jc w:val="both"/>
        <w:rPr>
          <w:rFonts w:ascii="David" w:hAnsi="David" w:cs="David"/>
          <w:sz w:val="24"/>
          <w:szCs w:val="24"/>
          <w:rtl/>
        </w:rPr>
      </w:pPr>
      <w:r>
        <w:rPr>
          <w:rFonts w:ascii="David" w:hAnsi="David" w:cs="David"/>
          <w:b/>
          <w:bCs/>
          <w:sz w:val="24"/>
          <w:szCs w:val="24"/>
          <w:u w:val="single"/>
          <w:rtl/>
        </w:rPr>
        <w:t>שנית</w:t>
      </w:r>
      <w:r>
        <w:rPr>
          <w:rFonts w:ascii="David" w:hAnsi="David" w:cs="David"/>
          <w:sz w:val="24"/>
          <w:szCs w:val="24"/>
          <w:rtl/>
        </w:rPr>
        <w:t xml:space="preserve">, היחידה שהוצגה כנטען על ידי המתווכת החדשה הוצגה בתחילת חודש </w:t>
      </w:r>
      <w:r>
        <w:rPr>
          <w:rFonts w:ascii="David" w:hAnsi="David" w:cs="David"/>
          <w:sz w:val="24"/>
          <w:szCs w:val="24"/>
          <w:u w:val="single"/>
          <w:rtl/>
        </w:rPr>
        <w:t>יוני 2020</w:t>
      </w:r>
      <w:r>
        <w:rPr>
          <w:rFonts w:ascii="David" w:hAnsi="David" w:cs="David"/>
          <w:sz w:val="24"/>
          <w:szCs w:val="24"/>
          <w:rtl/>
        </w:rPr>
        <w:t>. זאת כאשר במקביל ובמקרה פנה אליהם כבר ביום 1/6/2020 התובע והציע נכס נוסף וביום 16/6/2020 השיבה הנתבעת 2 שאינם מעוניינים.  כלומר – ב</w:t>
      </w:r>
      <w:r>
        <w:rPr>
          <w:rFonts w:ascii="David" w:hAnsi="David" w:cs="David"/>
          <w:sz w:val="24"/>
          <w:szCs w:val="24"/>
          <w:u w:val="single"/>
          <w:rtl/>
        </w:rPr>
        <w:t>עוד התובע מנסה ומבקש להיות בקשר עם הנתבעים ביחס לנכס נוסף</w:t>
      </w:r>
      <w:r>
        <w:rPr>
          <w:rFonts w:ascii="David" w:hAnsi="David" w:cs="David"/>
          <w:sz w:val="24"/>
          <w:szCs w:val="24"/>
          <w:rtl/>
        </w:rPr>
        <w:t xml:space="preserve"> – אלה פנו והוצגה להם, לטענתם, היחידה המקורית בקומה 28 על ידי מתווכת אחרת.</w:t>
      </w:r>
    </w:p>
    <w:p w:rsidR="001F2927" w:rsidRDefault="001F2927" w:rsidP="001F2927">
      <w:pPr>
        <w:pStyle w:val="ad"/>
        <w:rPr>
          <w:rFonts w:ascii="David" w:hAnsi="David" w:cs="David"/>
          <w:sz w:val="24"/>
          <w:szCs w:val="24"/>
        </w:rPr>
      </w:pPr>
    </w:p>
    <w:p w:rsidR="001F2927" w:rsidRDefault="001F2927" w:rsidP="001F2927">
      <w:pPr>
        <w:pStyle w:val="ad"/>
        <w:spacing w:line="360" w:lineRule="auto"/>
        <w:ind w:left="896"/>
        <w:jc w:val="both"/>
        <w:rPr>
          <w:rFonts w:ascii="David" w:hAnsi="David" w:cs="David"/>
          <w:sz w:val="24"/>
          <w:szCs w:val="24"/>
          <w:rtl/>
        </w:rPr>
      </w:pPr>
      <w:r>
        <w:rPr>
          <w:rFonts w:ascii="David" w:hAnsi="David" w:cs="David"/>
          <w:sz w:val="24"/>
          <w:szCs w:val="24"/>
          <w:rtl/>
        </w:rPr>
        <w:t xml:space="preserve">כאן המקור לציין ששני הנתבעים 1 ו-2 טענו בתוקף ששכחו וכלל לא זכרו שביקרו באותה קומה וכי זו הוצגה להם על ידי התובע. לכך אתייחס </w:t>
      </w:r>
      <w:r>
        <w:rPr>
          <w:rFonts w:ascii="David" w:hAnsi="David" w:cs="David"/>
          <w:color w:val="000000"/>
          <w:sz w:val="24"/>
          <w:szCs w:val="24"/>
          <w:rtl/>
        </w:rPr>
        <w:t xml:space="preserve">בסעיפים 5.2 ו-5.3 </w:t>
      </w:r>
      <w:r>
        <w:rPr>
          <w:rFonts w:ascii="David" w:hAnsi="David" w:cs="David"/>
          <w:sz w:val="24"/>
          <w:szCs w:val="24"/>
          <w:rtl/>
        </w:rPr>
        <w:t>לפסק הדין. כך או כך, אפילו נקבל טענת הנתבעים 1ו-2, הרי עולה שהיחידה שכבר הוצגה על ידי התובע ומיקומה הוצגו פעם נוספת (כטענתם) על ידי מתווכת חדשה.</w:t>
      </w:r>
    </w:p>
    <w:p w:rsidR="001F2927" w:rsidRDefault="001F2927" w:rsidP="001F2927">
      <w:pPr>
        <w:pStyle w:val="ad"/>
        <w:spacing w:line="360" w:lineRule="auto"/>
        <w:ind w:left="896"/>
        <w:jc w:val="both"/>
        <w:rPr>
          <w:rFonts w:ascii="David" w:hAnsi="David" w:cs="David"/>
          <w:sz w:val="24"/>
          <w:szCs w:val="24"/>
          <w:rtl/>
        </w:rPr>
      </w:pPr>
    </w:p>
    <w:p w:rsidR="001F2927" w:rsidRDefault="001F2927" w:rsidP="001F2927">
      <w:pPr>
        <w:pStyle w:val="ad"/>
        <w:numPr>
          <w:ilvl w:val="0"/>
          <w:numId w:val="8"/>
        </w:numPr>
        <w:spacing w:line="360" w:lineRule="auto"/>
        <w:jc w:val="both"/>
        <w:rPr>
          <w:rFonts w:ascii="David" w:hAnsi="David" w:cs="David"/>
          <w:sz w:val="24"/>
          <w:szCs w:val="24"/>
          <w:rtl/>
        </w:rPr>
      </w:pPr>
      <w:r>
        <w:rPr>
          <w:rFonts w:ascii="David" w:hAnsi="David" w:cs="David"/>
          <w:sz w:val="24"/>
          <w:szCs w:val="24"/>
          <w:rtl/>
        </w:rPr>
        <w:t xml:space="preserve">בסופו של יום, הצגת מחצית קומה 28 הבשילה לכדי הסכם מכר. וזאת בעקבות החלטת הנתבעים 1-2 בחודש דצמבר 2020, לאחר כחצי שנה מההצגה המחודשת הנטענת של הנכס על ידי מתווכת חדשה. לענין זה הצהירו, הן הנתבע 1 והן הנתבעת 2 כיצד </w:t>
      </w:r>
      <w:r>
        <w:rPr>
          <w:rFonts w:ascii="David" w:hAnsi="David" w:cs="David"/>
          <w:b/>
          <w:bCs/>
          <w:sz w:val="24"/>
          <w:szCs w:val="24"/>
          <w:rtl/>
        </w:rPr>
        <w:t>"במהלך דצמבר 2020 החלטנו לרכוש את כל הקומה"</w:t>
      </w:r>
      <w:r>
        <w:rPr>
          <w:rFonts w:ascii="David" w:hAnsi="David" w:cs="David"/>
          <w:sz w:val="24"/>
          <w:szCs w:val="24"/>
          <w:rtl/>
        </w:rPr>
        <w:t>.</w:t>
      </w:r>
    </w:p>
    <w:p w:rsidR="001F2927" w:rsidRDefault="001F2927" w:rsidP="001F2927">
      <w:pPr>
        <w:pStyle w:val="ad"/>
        <w:spacing w:line="360" w:lineRule="auto"/>
        <w:ind w:left="536"/>
        <w:jc w:val="both"/>
        <w:rPr>
          <w:rFonts w:ascii="David" w:hAnsi="David" w:cs="David"/>
          <w:b/>
          <w:bCs/>
          <w:sz w:val="24"/>
          <w:szCs w:val="24"/>
          <w:rtl/>
        </w:rPr>
      </w:pPr>
    </w:p>
    <w:p w:rsidR="001F2927" w:rsidRDefault="001F2927" w:rsidP="001F2927">
      <w:pPr>
        <w:pStyle w:val="ad"/>
        <w:numPr>
          <w:ilvl w:val="1"/>
          <w:numId w:val="1"/>
        </w:numPr>
        <w:spacing w:line="360" w:lineRule="auto"/>
        <w:ind w:left="536" w:hanging="708"/>
        <w:jc w:val="both"/>
        <w:rPr>
          <w:rFonts w:ascii="David" w:hAnsi="David" w:cs="David"/>
          <w:b/>
          <w:bCs/>
          <w:sz w:val="24"/>
          <w:szCs w:val="24"/>
        </w:rPr>
      </w:pPr>
      <w:r>
        <w:rPr>
          <w:rFonts w:ascii="David" w:hAnsi="David" w:cs="David"/>
          <w:b/>
          <w:bCs/>
          <w:sz w:val="24"/>
          <w:szCs w:val="24"/>
          <w:u w:val="single"/>
          <w:rtl/>
        </w:rPr>
        <w:t>התייחסות לטענת הנתבעים לפיה התובע אינו זכאי לדמי תיווך מכיוון שלא היה הגורם היעיל לעסקה (אין לקבל הטענה)</w:t>
      </w:r>
    </w:p>
    <w:p w:rsidR="001F2927" w:rsidRDefault="001F2927" w:rsidP="001F2927">
      <w:pPr>
        <w:pStyle w:val="ad"/>
        <w:numPr>
          <w:ilvl w:val="0"/>
          <w:numId w:val="9"/>
        </w:numPr>
        <w:spacing w:line="360" w:lineRule="auto"/>
        <w:jc w:val="both"/>
        <w:rPr>
          <w:rFonts w:ascii="David" w:hAnsi="David" w:cs="David"/>
          <w:sz w:val="24"/>
          <w:szCs w:val="24"/>
        </w:rPr>
      </w:pPr>
      <w:r>
        <w:rPr>
          <w:rFonts w:ascii="David" w:hAnsi="David" w:cs="David"/>
          <w:sz w:val="24"/>
          <w:szCs w:val="24"/>
          <w:rtl/>
        </w:rPr>
        <w:t xml:space="preserve">הנתבעים 1 ו-2 מפנים לכך שהתובע לא היה הגורם היעיל לעסקה. מכאן, לטעמם, התובע אינו זכאי לדמי תיווך. אין לקבל טענה זו, לא מוסרית ולא משפטית. </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7"/>
        </w:numPr>
        <w:spacing w:line="360" w:lineRule="auto"/>
        <w:ind w:left="1387"/>
        <w:jc w:val="both"/>
        <w:rPr>
          <w:rFonts w:ascii="David" w:hAnsi="David" w:cs="David"/>
          <w:sz w:val="24"/>
          <w:szCs w:val="24"/>
        </w:rPr>
      </w:pPr>
      <w:r>
        <w:rPr>
          <w:rFonts w:ascii="David" w:hAnsi="David" w:cs="David"/>
          <w:sz w:val="24"/>
          <w:szCs w:val="24"/>
          <w:u w:val="single"/>
          <w:rtl/>
        </w:rPr>
        <w:t>אין לקבל הטענה מבחינה מוסרית</w:t>
      </w:r>
      <w:r>
        <w:rPr>
          <w:rFonts w:ascii="David" w:hAnsi="David" w:cs="David"/>
          <w:sz w:val="24"/>
          <w:szCs w:val="24"/>
          <w:rtl/>
        </w:rPr>
        <w:t>, שכן אין להתיר מצב בו מעוול יוצא נשכר. בוודאי אין לקבל מצב בו הנתבעים הדירו את התובע מהעסקה ואף מידרו אותו, ולבסוף מנסים לקבל שכר על כך. ושוב אדגיש שבאותם ימים של תחילת חודש יוני 2020 פנה התובע לנתבעת 2 על מנת להציג לה נכס נוסף (פניה ביום 1/6/2020). רק שבועיים לאחר הפניה, ובתקופה בה הציגו לנתבעים 1 ו-2 כנטען, את קומה 28 – השיבה לו הנתבעת 2 שאינה מעוניינת ברכישה כלשהי. ובתוך כל אלה – לא נאמר דבר לתובע אודות עסקה אחרת שהם מעוניינים בה, עסקה אשר היא לא אחרת מאשר עסקה לרכישת יחידה שהציג לה התובע.</w:t>
      </w:r>
    </w:p>
    <w:p w:rsidR="001F2927" w:rsidRDefault="001F2927" w:rsidP="001F2927">
      <w:pPr>
        <w:pStyle w:val="ad"/>
        <w:spacing w:line="360" w:lineRule="auto"/>
        <w:ind w:left="1387"/>
        <w:jc w:val="both"/>
        <w:rPr>
          <w:rFonts w:ascii="David" w:hAnsi="David" w:cs="David"/>
          <w:sz w:val="24"/>
          <w:szCs w:val="24"/>
        </w:rPr>
      </w:pPr>
    </w:p>
    <w:p w:rsidR="001F2927" w:rsidRDefault="001F2927" w:rsidP="001F2927">
      <w:pPr>
        <w:pStyle w:val="ad"/>
        <w:numPr>
          <w:ilvl w:val="0"/>
          <w:numId w:val="7"/>
        </w:numPr>
        <w:spacing w:line="360" w:lineRule="auto"/>
        <w:ind w:left="1387"/>
        <w:jc w:val="both"/>
        <w:rPr>
          <w:rFonts w:ascii="David" w:hAnsi="David" w:cs="David"/>
          <w:sz w:val="24"/>
          <w:szCs w:val="24"/>
        </w:rPr>
      </w:pPr>
      <w:r>
        <w:rPr>
          <w:rFonts w:ascii="David" w:hAnsi="David" w:cs="David"/>
          <w:sz w:val="24"/>
          <w:szCs w:val="24"/>
          <w:u w:val="single"/>
          <w:rtl/>
        </w:rPr>
        <w:t>אין לקבל הטענה מבחינה משפטית</w:t>
      </w:r>
      <w:r>
        <w:rPr>
          <w:rFonts w:ascii="David" w:hAnsi="David" w:cs="David"/>
          <w:sz w:val="24"/>
          <w:szCs w:val="24"/>
          <w:rtl/>
        </w:rPr>
        <w:t>, שכן הנתבעים אינם יכולים להיבנות מהיעדרו של תנאי מתלה – כאשר הם אלה שסיכלו את קיומו. בנוסף, בנסיבות מסוימות, די בהצגת הנכס על מנת שיתקיים תנאי "הגורם היעיל". על כל אלה ארחיב בפסקאות הבאות.</w:t>
      </w:r>
    </w:p>
    <w:p w:rsidR="001F2927" w:rsidRDefault="001F2927" w:rsidP="001F2927">
      <w:pPr>
        <w:pStyle w:val="ad"/>
        <w:rPr>
          <w:rFonts w:ascii="David" w:hAnsi="David" w:cs="David"/>
          <w:sz w:val="24"/>
          <w:szCs w:val="24"/>
        </w:rPr>
      </w:pPr>
    </w:p>
    <w:p w:rsidR="001F2927" w:rsidRDefault="001F2927" w:rsidP="001F2927">
      <w:pPr>
        <w:pStyle w:val="ad"/>
        <w:numPr>
          <w:ilvl w:val="0"/>
          <w:numId w:val="9"/>
        </w:numPr>
        <w:spacing w:line="360" w:lineRule="auto"/>
        <w:jc w:val="both"/>
        <w:rPr>
          <w:rFonts w:ascii="David" w:hAnsi="David" w:cs="David"/>
          <w:sz w:val="24"/>
          <w:szCs w:val="24"/>
          <w:u w:val="single"/>
          <w:rtl/>
        </w:rPr>
      </w:pPr>
      <w:r>
        <w:rPr>
          <w:rFonts w:ascii="David" w:hAnsi="David" w:cs="David"/>
          <w:sz w:val="24"/>
          <w:szCs w:val="24"/>
          <w:u w:val="single"/>
          <w:rtl/>
        </w:rPr>
        <w:t>לא ניתן לסכל קיומו של תנאי מתלה ולאחר מכן להיבנות מהיעדרו ולחמוק מתשלום דמי תיווך</w:t>
      </w:r>
    </w:p>
    <w:p w:rsidR="001F2927" w:rsidRDefault="001F2927" w:rsidP="001F2927">
      <w:pPr>
        <w:pStyle w:val="ad"/>
        <w:numPr>
          <w:ilvl w:val="0"/>
          <w:numId w:val="7"/>
        </w:numPr>
        <w:spacing w:line="360" w:lineRule="auto"/>
        <w:ind w:left="1387"/>
        <w:jc w:val="both"/>
        <w:rPr>
          <w:rFonts w:ascii="David" w:hAnsi="David" w:cs="David"/>
          <w:sz w:val="24"/>
          <w:szCs w:val="24"/>
        </w:rPr>
      </w:pPr>
      <w:r>
        <w:rPr>
          <w:rFonts w:ascii="David" w:hAnsi="David" w:cs="David"/>
          <w:sz w:val="24"/>
          <w:szCs w:val="24"/>
          <w:rtl/>
        </w:rPr>
        <w:t>הנתבעים אינם יכולים למנוע מהתובע אפשרות להתערב במשא ומתן או אפילו לדעת על קיומו, ומנגד לטעון לכך שהתובע אינו זכאי לשכר בגין כך. צד המסכל קיומו של תנאי בהסכם או תנאי על פי דין אינו יכול להיבנות מכך ולהפיק מכך רווח כספי.</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7"/>
        </w:numPr>
        <w:spacing w:line="360" w:lineRule="auto"/>
        <w:ind w:left="1387"/>
        <w:jc w:val="both"/>
        <w:rPr>
          <w:rFonts w:ascii="David" w:hAnsi="David" w:cs="David"/>
          <w:color w:val="000000"/>
          <w:sz w:val="24"/>
          <w:szCs w:val="24"/>
        </w:rPr>
      </w:pPr>
      <w:r>
        <w:rPr>
          <w:rFonts w:ascii="David" w:hAnsi="David" w:cs="David"/>
          <w:sz w:val="24"/>
          <w:szCs w:val="24"/>
          <w:rtl/>
        </w:rPr>
        <w:t>לענין זה אפנה אל סעיף 28(א) ל</w:t>
      </w:r>
      <w:r>
        <w:rPr>
          <w:rFonts w:ascii="David" w:hAnsi="David" w:cs="David"/>
          <w:sz w:val="24"/>
          <w:szCs w:val="24"/>
          <w:u w:val="single"/>
          <w:rtl/>
        </w:rPr>
        <w:t>חוק החוזים (חלק כללי)</w:t>
      </w:r>
      <w:r>
        <w:rPr>
          <w:rFonts w:ascii="David" w:hAnsi="David" w:cs="David"/>
          <w:sz w:val="24"/>
          <w:szCs w:val="24"/>
          <w:rtl/>
        </w:rPr>
        <w:t xml:space="preserve">  הקובע במפורש כך (ההדגשות לא במקור) - </w:t>
      </w:r>
      <w:r>
        <w:rPr>
          <w:rFonts w:ascii="David" w:hAnsi="David" w:cs="David"/>
          <w:b/>
          <w:bCs/>
          <w:color w:val="000000"/>
          <w:sz w:val="24"/>
          <w:szCs w:val="24"/>
          <w:rtl/>
        </w:rPr>
        <w:t>"היה חוזה מותנה בתנאי מתלה </w:t>
      </w:r>
      <w:r>
        <w:rPr>
          <w:rFonts w:ascii="David" w:hAnsi="David" w:cs="David"/>
          <w:b/>
          <w:bCs/>
          <w:color w:val="000000"/>
          <w:sz w:val="24"/>
          <w:szCs w:val="24"/>
          <w:u w:val="single"/>
          <w:rtl/>
        </w:rPr>
        <w:t>וצד אחד מנע את קיום התנאי</w:t>
      </w:r>
      <w:r>
        <w:rPr>
          <w:rFonts w:ascii="David" w:hAnsi="David" w:cs="David"/>
          <w:b/>
          <w:bCs/>
          <w:color w:val="000000"/>
          <w:sz w:val="24"/>
          <w:szCs w:val="24"/>
          <w:rtl/>
        </w:rPr>
        <w:t>, אין הוא זכאי להסתמך על אי-קיומו"</w:t>
      </w:r>
      <w:r>
        <w:rPr>
          <w:rFonts w:ascii="David" w:hAnsi="David" w:cs="David"/>
          <w:color w:val="000000"/>
          <w:sz w:val="24"/>
          <w:szCs w:val="24"/>
          <w:rtl/>
        </w:rPr>
        <w:t xml:space="preserve">, ומכאן ברור שכאשר הנתבעים 1 ו-2 מנעו קיומו של התנאי, הרי אין הם זכאים </w:t>
      </w:r>
      <w:r>
        <w:rPr>
          <w:rFonts w:ascii="David" w:hAnsi="David" w:cs="David"/>
          <w:b/>
          <w:bCs/>
          <w:color w:val="000000"/>
          <w:sz w:val="24"/>
          <w:szCs w:val="24"/>
          <w:rtl/>
        </w:rPr>
        <w:t>"להסתמך על אי קיומו"</w:t>
      </w:r>
      <w:r>
        <w:rPr>
          <w:rFonts w:ascii="David" w:hAnsi="David" w:cs="David"/>
          <w:color w:val="000000"/>
          <w:sz w:val="24"/>
          <w:szCs w:val="24"/>
          <w:rtl/>
        </w:rPr>
        <w:t xml:space="preserve">. </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numPr>
          <w:ilvl w:val="0"/>
          <w:numId w:val="7"/>
        </w:numPr>
        <w:spacing w:line="360" w:lineRule="auto"/>
        <w:ind w:left="1387"/>
        <w:jc w:val="both"/>
        <w:rPr>
          <w:rFonts w:ascii="David" w:hAnsi="David" w:cs="David"/>
          <w:color w:val="000000"/>
          <w:sz w:val="24"/>
          <w:szCs w:val="24"/>
          <w:rtl/>
        </w:rPr>
      </w:pPr>
      <w:r>
        <w:rPr>
          <w:rFonts w:ascii="David" w:hAnsi="David" w:cs="David"/>
          <w:color w:val="000000"/>
          <w:sz w:val="24"/>
          <w:szCs w:val="24"/>
          <w:rtl/>
        </w:rPr>
        <w:t xml:space="preserve">בשלב זה אציין שנתתי דעתי לטענת הנתבעים 1 ו-2 לפיה לפתע </w:t>
      </w:r>
      <w:r>
        <w:rPr>
          <w:rFonts w:ascii="David" w:hAnsi="David" w:cs="David"/>
          <w:color w:val="000000"/>
          <w:sz w:val="24"/>
          <w:szCs w:val="24"/>
          <w:u w:val="single"/>
          <w:rtl/>
        </w:rPr>
        <w:t>נשתכח מזיכרונם</w:t>
      </w:r>
      <w:r>
        <w:rPr>
          <w:rFonts w:ascii="David" w:hAnsi="David" w:cs="David"/>
          <w:color w:val="000000"/>
          <w:sz w:val="24"/>
          <w:szCs w:val="24"/>
          <w:rtl/>
        </w:rPr>
        <w:t xml:space="preserve"> הנכס הייחודי בקומה 28, והם שכחו שזה הוצג להם בעבר. קיים קושי בטענה זו ועל כך ארחיב בסעיפים 5.2 ו-5.3 להלן. </w:t>
      </w:r>
      <w:r>
        <w:rPr>
          <w:rFonts w:ascii="David" w:hAnsi="David" w:cs="David"/>
          <w:color w:val="000000"/>
          <w:sz w:val="24"/>
          <w:szCs w:val="24"/>
          <w:u w:val="single"/>
          <w:rtl/>
        </w:rPr>
        <w:t>ואולם  אפילו אם אקבל טענה זו</w:t>
      </w:r>
      <w:r>
        <w:rPr>
          <w:rFonts w:ascii="David" w:hAnsi="David" w:cs="David"/>
          <w:color w:val="000000"/>
          <w:sz w:val="24"/>
          <w:szCs w:val="24"/>
          <w:rtl/>
        </w:rPr>
        <w:t xml:space="preserve"> – עדיין ברור הוא שבשל העובדה שהנתבעים לא פנו לתובע, הרי זה ממילא לא יכול היה לדעת שהם מעוניינים בנכס. ומכאן – הנתבעים סיכלו את קיומו של התנאי המתלה וסיכלו את האפשרות לסייע בעסקה.</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692726">
      <w:pPr>
        <w:pStyle w:val="ad"/>
        <w:numPr>
          <w:ilvl w:val="0"/>
          <w:numId w:val="7"/>
        </w:numPr>
        <w:spacing w:line="360" w:lineRule="auto"/>
        <w:ind w:left="1387"/>
        <w:jc w:val="both"/>
        <w:rPr>
          <w:rFonts w:ascii="Calibri" w:hAnsi="Calibri" w:cs="David"/>
          <w:szCs w:val="24"/>
          <w:rtl/>
        </w:rPr>
      </w:pPr>
      <w:r>
        <w:rPr>
          <w:rFonts w:ascii="David" w:hAnsi="David" w:cs="David"/>
          <w:sz w:val="24"/>
          <w:szCs w:val="24"/>
          <w:rtl/>
        </w:rPr>
        <w:t>להרחבה ביחס לכך שהנתבעים אינם זכאים להסתמך על אי קיומו של התנאי המתלה אפנה גם אל ע"א 2262/17, </w:t>
      </w:r>
      <w:r>
        <w:rPr>
          <w:rFonts w:ascii="David" w:hAnsi="David" w:cs="David"/>
          <w:sz w:val="24"/>
          <w:szCs w:val="24"/>
          <w:u w:val="single"/>
          <w:rtl/>
        </w:rPr>
        <w:t>פז חברת נפט בע"מ נ' ישראל דיעי</w:t>
      </w:r>
      <w:r>
        <w:rPr>
          <w:rFonts w:ascii="David" w:hAnsi="David" w:cs="David"/>
          <w:sz w:val="24"/>
          <w:szCs w:val="24"/>
          <w:rtl/>
        </w:rPr>
        <w:t>  (מיום 2/7/19, השופטת ד' ברק-ארז, הש' ג' קרא והשופטת י' וילנר – בסעיף 39) שם נקבע כי </w:t>
      </w:r>
      <w:r>
        <w:rPr>
          <w:rFonts w:ascii="David" w:hAnsi="David" w:cs="David"/>
          <w:b/>
          <w:sz w:val="24"/>
          <w:szCs w:val="24"/>
          <w:rtl/>
        </w:rPr>
        <w:t>"בנסיבות שבהן המערערת סיכלה את קיומו של התנאי – אין היא רשאית לטעון כי הוא לא התקיים"</w:t>
      </w:r>
      <w:r>
        <w:rPr>
          <w:rFonts w:ascii="David" w:hAnsi="David" w:cs="David"/>
          <w:sz w:val="24"/>
          <w:szCs w:val="24"/>
          <w:rtl/>
        </w:rPr>
        <w:t>.</w:t>
      </w:r>
      <w:r>
        <w:rPr>
          <w:rFonts w:ascii="Calibri" w:hAnsi="Calibri" w:cs="David"/>
          <w:sz w:val="24"/>
          <w:szCs w:val="24"/>
          <w:rtl/>
        </w:rPr>
        <w:t xml:space="preserve"> עוד ר' </w:t>
      </w:r>
      <w:r>
        <w:rPr>
          <w:rFonts w:ascii="David" w:hAnsi="David" w:cs="David"/>
          <w:spacing w:val="10"/>
          <w:szCs w:val="24"/>
          <w:rtl/>
        </w:rPr>
        <w:t>דניאל פרידמן ונילי כהן, </w:t>
      </w:r>
      <w:r w:rsidR="00692726" w:rsidRPr="00692726">
        <w:rPr>
          <w:rFonts w:ascii="David" w:hAnsi="David" w:cs="David" w:hint="cs"/>
          <w:szCs w:val="24"/>
          <w:u w:val="single"/>
          <w:rtl/>
        </w:rPr>
        <w:t>חוזים</w:t>
      </w:r>
      <w:r>
        <w:rPr>
          <w:rFonts w:ascii="David" w:hAnsi="David" w:cs="David"/>
          <w:szCs w:val="24"/>
          <w:rtl/>
        </w:rPr>
        <w:t>, כרך ג' </w:t>
      </w:r>
      <w:r>
        <w:rPr>
          <w:rFonts w:ascii="David" w:hAnsi="David" w:cs="David"/>
          <w:spacing w:val="10"/>
          <w:szCs w:val="24"/>
          <w:rtl/>
        </w:rPr>
        <w:t>354-353 (2003)</w:t>
      </w:r>
      <w:r>
        <w:rPr>
          <w:rFonts w:ascii="David" w:hAnsi="David" w:cs="David"/>
          <w:szCs w:val="24"/>
          <w:rtl/>
        </w:rPr>
        <w:t>.</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9"/>
        </w:numPr>
        <w:spacing w:line="360" w:lineRule="auto"/>
        <w:jc w:val="both"/>
        <w:rPr>
          <w:rFonts w:ascii="David" w:hAnsi="David" w:cs="David"/>
          <w:sz w:val="24"/>
          <w:szCs w:val="24"/>
        </w:rPr>
      </w:pPr>
      <w:r>
        <w:rPr>
          <w:rFonts w:ascii="David" w:hAnsi="David" w:cs="David"/>
          <w:sz w:val="24"/>
          <w:szCs w:val="24"/>
          <w:u w:val="single"/>
          <w:rtl/>
        </w:rPr>
        <w:t>ובנוסף – הפניה להוראות ההסכם בין הצדדים, ביחס לתשלום דמי התיווך</w:t>
      </w:r>
    </w:p>
    <w:p w:rsidR="001F2927" w:rsidRDefault="001F2927" w:rsidP="001F2927">
      <w:pPr>
        <w:pStyle w:val="ad"/>
        <w:spacing w:line="360" w:lineRule="auto"/>
        <w:ind w:left="896"/>
        <w:jc w:val="both"/>
        <w:rPr>
          <w:rFonts w:ascii="David" w:hAnsi="David" w:cs="David"/>
          <w:sz w:val="24"/>
          <w:szCs w:val="24"/>
        </w:rPr>
      </w:pPr>
      <w:r>
        <w:rPr>
          <w:rFonts w:ascii="David" w:hAnsi="David" w:cs="David"/>
          <w:sz w:val="24"/>
          <w:szCs w:val="24"/>
          <w:rtl/>
        </w:rPr>
        <w:t>מעבר לכל האמור לעיל אציין שאפשר וגם ללא הוראות סעיף 28 לחוק החוזים, הרי בהתאם להסכם התיווך הובהר שדמי התיווך ישולמו אף אם ימדרו הרוכשים את התובע. וכך נקבע בסעיף 4 להסכם (ההדגשות לא במקור):</w:t>
      </w:r>
    </w:p>
    <w:p w:rsidR="001F2927" w:rsidRDefault="001F2927" w:rsidP="001F2927">
      <w:pPr>
        <w:pStyle w:val="ad"/>
        <w:spacing w:line="360" w:lineRule="auto"/>
        <w:ind w:left="2096"/>
        <w:jc w:val="right"/>
        <w:rPr>
          <w:rFonts w:ascii="David" w:hAnsi="David" w:cs="David"/>
          <w:b/>
          <w:bCs/>
          <w:sz w:val="24"/>
          <w:szCs w:val="24"/>
        </w:rPr>
      </w:pPr>
      <w:r>
        <w:rPr>
          <w:rFonts w:ascii="David" w:hAnsi="David" w:cs="David"/>
          <w:b/>
          <w:bCs/>
          <w:sz w:val="24"/>
          <w:szCs w:val="24"/>
        </w:rPr>
        <w:t xml:space="preserve">"I undertake to pay the broker immediately upon the signing of a binding agreement with respect to the properties presented to us by the broker (directly or by third party) </w:t>
      </w:r>
      <w:r>
        <w:rPr>
          <w:rFonts w:ascii="David" w:hAnsi="David" w:cs="David"/>
          <w:b/>
          <w:bCs/>
          <w:sz w:val="24"/>
          <w:szCs w:val="24"/>
          <w:u w:val="single"/>
        </w:rPr>
        <w:t xml:space="preserve">even if I do not involve </w:t>
      </w:r>
      <w:r>
        <w:rPr>
          <w:rFonts w:ascii="David" w:hAnsi="David" w:cs="David"/>
          <w:b/>
          <w:bCs/>
          <w:sz w:val="24"/>
          <w:szCs w:val="24"/>
          <w:u w:val="single"/>
        </w:rPr>
        <w:lastRenderedPageBreak/>
        <w:t>the broker in the course of the transaction</w:t>
      </w:r>
      <w:r>
        <w:rPr>
          <w:rFonts w:ascii="David" w:hAnsi="David" w:cs="David"/>
          <w:b/>
          <w:bCs/>
          <w:sz w:val="24"/>
          <w:szCs w:val="24"/>
        </w:rPr>
        <w:t xml:space="preserve"> at any price to be agreed upon in the negotiations" </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spacing w:line="360" w:lineRule="auto"/>
        <w:ind w:left="896"/>
        <w:jc w:val="both"/>
        <w:rPr>
          <w:rFonts w:ascii="David" w:hAnsi="David" w:cs="David"/>
          <w:sz w:val="24"/>
          <w:szCs w:val="24"/>
          <w:rtl/>
        </w:rPr>
      </w:pPr>
      <w:r>
        <w:rPr>
          <w:rFonts w:ascii="David" w:hAnsi="David" w:cs="David"/>
          <w:sz w:val="24"/>
          <w:szCs w:val="24"/>
          <w:rtl/>
        </w:rPr>
        <w:t>כלומר, אפילו רוכשי הנכס מתעלמים מחובתם לעדכן את התובע בכל משא ומתן והתקדמות בו – עדיין הם מחויבים בתשלום דמי התיווך.</w:t>
      </w:r>
    </w:p>
    <w:p w:rsidR="001F2927" w:rsidRDefault="001F2927" w:rsidP="001F2927">
      <w:pPr>
        <w:pStyle w:val="ad"/>
        <w:spacing w:line="360" w:lineRule="auto"/>
        <w:ind w:left="896"/>
        <w:jc w:val="both"/>
        <w:rPr>
          <w:rFonts w:ascii="David" w:hAnsi="David" w:cs="David"/>
          <w:sz w:val="24"/>
          <w:szCs w:val="24"/>
          <w:rtl/>
        </w:rPr>
      </w:pPr>
    </w:p>
    <w:p w:rsidR="001F2927" w:rsidRDefault="001F2927" w:rsidP="001F2927">
      <w:pPr>
        <w:pStyle w:val="ad"/>
        <w:numPr>
          <w:ilvl w:val="0"/>
          <w:numId w:val="9"/>
        </w:numPr>
        <w:spacing w:line="360" w:lineRule="auto"/>
        <w:jc w:val="both"/>
        <w:rPr>
          <w:rFonts w:ascii="David" w:hAnsi="David" w:cs="David"/>
          <w:sz w:val="24"/>
          <w:szCs w:val="24"/>
          <w:u w:val="single"/>
        </w:rPr>
      </w:pPr>
      <w:r>
        <w:rPr>
          <w:rFonts w:ascii="David" w:hAnsi="David" w:cs="David"/>
          <w:sz w:val="24"/>
          <w:szCs w:val="24"/>
          <w:u w:val="single"/>
          <w:rtl/>
        </w:rPr>
        <w:t>בנסיבות הענין, גם הצגת הנכס יכולה להספיק לצורך קיום התנאי של "הגורם היעיל"</w:t>
      </w:r>
    </w:p>
    <w:p w:rsidR="001F2927" w:rsidRDefault="001F2927" w:rsidP="001F2927">
      <w:pPr>
        <w:pStyle w:val="ad"/>
        <w:spacing w:line="360" w:lineRule="auto"/>
        <w:ind w:left="896"/>
        <w:jc w:val="both"/>
        <w:rPr>
          <w:rFonts w:ascii="David" w:hAnsi="David" w:cs="David"/>
          <w:sz w:val="24"/>
          <w:szCs w:val="24"/>
        </w:rPr>
      </w:pPr>
      <w:r>
        <w:rPr>
          <w:rFonts w:ascii="David" w:hAnsi="David" w:cs="David"/>
          <w:sz w:val="24"/>
          <w:szCs w:val="24"/>
          <w:rtl/>
        </w:rPr>
        <w:t xml:space="preserve">לסיום הדיון בשאלת "הגורם היעיל" אפנה לכך שעל פניו, בנסיבות הענין, גם הצגת הנכס עצמו יכולה להספיק לצורך הגדרת התובע כ"גורם היעיל". לענין זה אפנה לקביעה לפיה </w:t>
      </w:r>
      <w:r>
        <w:rPr>
          <w:rFonts w:ascii="David" w:hAnsi="David" w:cs="David"/>
          <w:color w:val="000000"/>
          <w:sz w:val="24"/>
          <w:szCs w:val="24"/>
          <w:rtl/>
        </w:rPr>
        <w:t>"</w:t>
      </w:r>
      <w:r>
        <w:rPr>
          <w:rFonts w:ascii="David" w:hAnsi="David" w:cs="David"/>
          <w:b/>
          <w:bCs/>
          <w:color w:val="000000"/>
          <w:sz w:val="24"/>
          <w:szCs w:val="24"/>
          <w:u w:val="single"/>
          <w:rtl/>
        </w:rPr>
        <w:t>די לעיתים במסירת כתובת או בהפגשת הצדדים כדי שהמתווך ייחשב כגורם היעיל</w:t>
      </w:r>
      <w:r>
        <w:rPr>
          <w:rFonts w:ascii="David" w:hAnsi="David" w:cs="David"/>
          <w:b/>
          <w:bCs/>
          <w:color w:val="000000"/>
          <w:sz w:val="24"/>
          <w:szCs w:val="24"/>
          <w:rtl/>
        </w:rPr>
        <w:t xml:space="preserve"> שהביא להתקשרות. בהיעדר נסיבות מיוחדות, אין המתווך נדרש לנהל את המו"מ עבור הצדדים או לבצע פעולות החורגות מעצם יצירת הקשר בין הצדדים. פעולתו של המתווך היא להביא למפגש בין הצדדים ולא לפעול כשלוחם בניהול המשא ומתן</w:t>
      </w:r>
      <w:r>
        <w:rPr>
          <w:rFonts w:ascii="David" w:hAnsi="David" w:cs="David"/>
          <w:color w:val="000000"/>
          <w:sz w:val="24"/>
          <w:szCs w:val="24"/>
          <w:rtl/>
        </w:rPr>
        <w:t xml:space="preserve">", </w:t>
      </w:r>
      <w:r>
        <w:rPr>
          <w:rFonts w:ascii="David" w:hAnsi="David" w:cs="David"/>
          <w:sz w:val="24"/>
          <w:szCs w:val="24"/>
          <w:rtl/>
        </w:rPr>
        <w:t xml:space="preserve">ור' תא (מחוזי מרכז) 15706-01-14, </w:t>
      </w:r>
      <w:r>
        <w:rPr>
          <w:rFonts w:ascii="David" w:hAnsi="David" w:cs="David"/>
          <w:color w:val="000000"/>
          <w:sz w:val="24"/>
          <w:szCs w:val="24"/>
          <w:u w:val="single"/>
          <w:rtl/>
        </w:rPr>
        <w:t>עמית מזרחי נ' אהוד מרקוביץ</w:t>
      </w:r>
      <w:r>
        <w:rPr>
          <w:rFonts w:ascii="David" w:hAnsi="David" w:cs="David"/>
          <w:color w:val="000000"/>
          <w:sz w:val="24"/>
          <w:szCs w:val="24"/>
          <w:rtl/>
        </w:rPr>
        <w:t xml:space="preserve">  (כב' הש' ר. שמולביץ מיום 16/3/16) אשר אושר לעניין זה בבית המשפט העליון במסגרת ע"א 3384/16, </w:t>
      </w:r>
      <w:r>
        <w:rPr>
          <w:rFonts w:ascii="David" w:hAnsi="David" w:cs="David"/>
          <w:color w:val="000000"/>
          <w:sz w:val="24"/>
          <w:szCs w:val="24"/>
        </w:rPr>
        <w:t>, </w:t>
      </w:r>
      <w:r>
        <w:rPr>
          <w:rFonts w:ascii="David" w:hAnsi="David" w:cs="David"/>
          <w:color w:val="000000"/>
          <w:sz w:val="24"/>
          <w:szCs w:val="24"/>
          <w:u w:val="single"/>
          <w:rtl/>
        </w:rPr>
        <w:t>עמית מזרחי נ' אהוד מרקוביץ</w:t>
      </w:r>
      <w:r>
        <w:rPr>
          <w:rFonts w:ascii="David" w:hAnsi="David" w:cs="David"/>
          <w:color w:val="000000"/>
          <w:sz w:val="24"/>
          <w:szCs w:val="24"/>
          <w:rtl/>
        </w:rPr>
        <w:t> </w:t>
      </w:r>
      <w:r>
        <w:rPr>
          <w:rFonts w:ascii="David" w:hAnsi="David" w:cs="David"/>
          <w:color w:val="000000"/>
          <w:sz w:val="24"/>
          <w:szCs w:val="24"/>
        </w:rPr>
        <w:t>(</w:t>
      </w:r>
      <w:r>
        <w:rPr>
          <w:rFonts w:ascii="David" w:hAnsi="David" w:cs="David"/>
          <w:color w:val="000000"/>
          <w:sz w:val="24"/>
          <w:szCs w:val="24"/>
          <w:rtl/>
        </w:rPr>
        <w:t>מיום 5/7/2018, המש' לנ' ח' מלצר, הש' ' ברק-ארז, הש' י' אלרון</w:t>
      </w:r>
      <w:r>
        <w:rPr>
          <w:rFonts w:ascii="David" w:hAnsi="David" w:cs="David"/>
          <w:sz w:val="24"/>
          <w:szCs w:val="24"/>
        </w:rPr>
        <w:t>(</w:t>
      </w:r>
    </w:p>
    <w:p w:rsidR="001F2927" w:rsidRDefault="001F2927" w:rsidP="001F2927">
      <w:pPr>
        <w:pStyle w:val="ad"/>
        <w:spacing w:line="360" w:lineRule="auto"/>
        <w:ind w:left="896"/>
        <w:jc w:val="both"/>
        <w:rPr>
          <w:rFonts w:ascii="David" w:hAnsi="David" w:cs="David"/>
          <w:sz w:val="24"/>
          <w:szCs w:val="24"/>
          <w:rtl/>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סיכום עד כאן, ביחס להצגת הנכס על ידי התובע וביחס לרכישתו בסופו של יום על ידי הנתבעים</w:t>
      </w:r>
    </w:p>
    <w:p w:rsidR="001F2927" w:rsidRDefault="001F2927" w:rsidP="001F2927">
      <w:pPr>
        <w:pStyle w:val="ad"/>
        <w:spacing w:line="360" w:lineRule="auto"/>
        <w:ind w:left="536"/>
        <w:jc w:val="both"/>
        <w:rPr>
          <w:rFonts w:ascii="David" w:hAnsi="David" w:cs="David"/>
          <w:sz w:val="24"/>
          <w:szCs w:val="24"/>
        </w:rPr>
      </w:pPr>
      <w:r>
        <w:rPr>
          <w:rFonts w:ascii="David" w:hAnsi="David" w:cs="David"/>
          <w:sz w:val="24"/>
          <w:szCs w:val="24"/>
          <w:rtl/>
        </w:rPr>
        <w:t>מכל האמור לעיל עולה תמונה ברורה המקנה לתובע זכות לדמי תיווך. וכך:</w:t>
      </w:r>
    </w:p>
    <w:p w:rsidR="001F2927" w:rsidRDefault="001F2927" w:rsidP="001F2927">
      <w:pPr>
        <w:pStyle w:val="ad"/>
        <w:spacing w:line="360" w:lineRule="auto"/>
        <w:ind w:left="536"/>
        <w:jc w:val="both"/>
        <w:rPr>
          <w:rFonts w:ascii="David" w:hAnsi="David" w:cs="David"/>
          <w:sz w:val="24"/>
          <w:szCs w:val="24"/>
          <w:rtl/>
        </w:rPr>
      </w:pPr>
    </w:p>
    <w:p w:rsidR="001F2927" w:rsidRDefault="001F2927" w:rsidP="001F2927">
      <w:pPr>
        <w:pStyle w:val="ad"/>
        <w:numPr>
          <w:ilvl w:val="0"/>
          <w:numId w:val="10"/>
        </w:numPr>
        <w:spacing w:line="360" w:lineRule="auto"/>
        <w:jc w:val="both"/>
        <w:rPr>
          <w:rFonts w:ascii="David" w:hAnsi="David" w:cs="David"/>
          <w:sz w:val="24"/>
          <w:szCs w:val="24"/>
          <w:rtl/>
        </w:rPr>
      </w:pPr>
      <w:r>
        <w:rPr>
          <w:rFonts w:ascii="David" w:hAnsi="David" w:cs="David"/>
          <w:sz w:val="24"/>
          <w:szCs w:val="24"/>
          <w:u w:val="single"/>
          <w:rtl/>
        </w:rPr>
        <w:t>ראשית</w:t>
      </w:r>
      <w:r>
        <w:rPr>
          <w:rFonts w:ascii="David" w:hAnsi="David" w:cs="David"/>
          <w:sz w:val="24"/>
          <w:szCs w:val="24"/>
          <w:rtl/>
        </w:rPr>
        <w:t>, התובע הציג לנתבעים ביום 17/3/2019 מחצית מקומה 28 בבנין ברחוב ארלוזורוב 17 בעיר תל אביב. אותה מחצית קומה הוגה כשהיא במצב מעטפת.</w:t>
      </w:r>
    </w:p>
    <w:p w:rsidR="001F2927" w:rsidRDefault="001F2927" w:rsidP="001F2927">
      <w:pPr>
        <w:pStyle w:val="ad"/>
        <w:spacing w:line="360" w:lineRule="auto"/>
        <w:ind w:left="1245"/>
        <w:jc w:val="both"/>
        <w:rPr>
          <w:rFonts w:ascii="David" w:hAnsi="David" w:cs="David"/>
          <w:sz w:val="24"/>
          <w:szCs w:val="24"/>
        </w:rPr>
      </w:pPr>
    </w:p>
    <w:p w:rsidR="001F2927" w:rsidRDefault="001F2927" w:rsidP="001F2927">
      <w:pPr>
        <w:pStyle w:val="ad"/>
        <w:numPr>
          <w:ilvl w:val="0"/>
          <w:numId w:val="10"/>
        </w:numPr>
        <w:spacing w:line="360" w:lineRule="auto"/>
        <w:jc w:val="both"/>
        <w:rPr>
          <w:rFonts w:ascii="David" w:hAnsi="David" w:cs="David"/>
          <w:sz w:val="24"/>
          <w:szCs w:val="24"/>
        </w:rPr>
      </w:pPr>
      <w:r>
        <w:rPr>
          <w:rFonts w:ascii="David" w:hAnsi="David" w:cs="David"/>
          <w:sz w:val="24"/>
          <w:szCs w:val="24"/>
          <w:u w:val="single"/>
          <w:rtl/>
        </w:rPr>
        <w:t>שנית</w:t>
      </w:r>
      <w:r>
        <w:rPr>
          <w:rFonts w:ascii="David" w:hAnsi="David" w:cs="David"/>
          <w:sz w:val="24"/>
          <w:szCs w:val="24"/>
          <w:rtl/>
        </w:rPr>
        <w:t>, התובע החתים על הסכם תיווך המתייחס למספר נכסים וביניהם למחצית קומה 28 בבנין ברחוב ארלוזורוב 17 בעיר תל אביב.</w:t>
      </w:r>
    </w:p>
    <w:p w:rsidR="001F2927" w:rsidRDefault="001F2927" w:rsidP="001F2927">
      <w:pPr>
        <w:pStyle w:val="ad"/>
        <w:rPr>
          <w:rFonts w:ascii="David" w:hAnsi="David" w:cs="David"/>
          <w:sz w:val="24"/>
          <w:szCs w:val="24"/>
        </w:rPr>
      </w:pPr>
    </w:p>
    <w:p w:rsidR="001F2927" w:rsidRDefault="001F2927" w:rsidP="001F2927">
      <w:pPr>
        <w:pStyle w:val="ad"/>
        <w:numPr>
          <w:ilvl w:val="0"/>
          <w:numId w:val="10"/>
        </w:numPr>
        <w:spacing w:line="360" w:lineRule="auto"/>
        <w:jc w:val="both"/>
        <w:rPr>
          <w:rFonts w:ascii="David" w:hAnsi="David" w:cs="David"/>
          <w:sz w:val="24"/>
          <w:szCs w:val="24"/>
          <w:rtl/>
        </w:rPr>
      </w:pPr>
      <w:r>
        <w:rPr>
          <w:rFonts w:ascii="David" w:hAnsi="David" w:cs="David"/>
          <w:sz w:val="24"/>
          <w:szCs w:val="24"/>
          <w:u w:val="single"/>
          <w:rtl/>
        </w:rPr>
        <w:t>שלישית</w:t>
      </w:r>
      <w:r>
        <w:rPr>
          <w:rFonts w:ascii="David" w:hAnsi="David" w:cs="David"/>
          <w:sz w:val="24"/>
          <w:szCs w:val="24"/>
          <w:rtl/>
        </w:rPr>
        <w:t>, התובע המשיך להיות בקשר עם הנתבעים, והציג התכתבות עם הנתבעת 2. זאת תוך שהוא מציג נכסים נוספים. כך פנה גם ביום 1/6/2020 וביקש להציג נכס נוסף המוצע למכירה. הנתבעת 2 מצידה השיבה רק לאחר 15 יום, וביום 16/6/2020 השיבה שהם (הנתבעים 1 ו-2) אינם מעוניינים כבר ברכישה (</w:t>
      </w:r>
      <w:r>
        <w:rPr>
          <w:rFonts w:ascii="David" w:hAnsi="David" w:cs="David"/>
          <w:b/>
          <w:bCs/>
          <w:sz w:val="24"/>
          <w:szCs w:val="24"/>
        </w:rPr>
        <w:t>"Thank You we are not looking anymore"</w:t>
      </w:r>
      <w:r>
        <w:rPr>
          <w:rFonts w:ascii="David" w:hAnsi="David" w:cs="David"/>
          <w:sz w:val="24"/>
          <w:szCs w:val="24"/>
          <w:rtl/>
        </w:rPr>
        <w:t>, ור' סעיף 1.2(ב) לעיל).</w:t>
      </w:r>
    </w:p>
    <w:p w:rsidR="001F2927" w:rsidRDefault="001F2927" w:rsidP="001F2927">
      <w:pPr>
        <w:pStyle w:val="ad"/>
        <w:rPr>
          <w:rFonts w:ascii="David" w:hAnsi="David" w:cs="David"/>
          <w:sz w:val="24"/>
          <w:szCs w:val="24"/>
        </w:rPr>
      </w:pPr>
    </w:p>
    <w:p w:rsidR="001F2927" w:rsidRDefault="001F2927" w:rsidP="001F2927">
      <w:pPr>
        <w:pStyle w:val="ad"/>
        <w:numPr>
          <w:ilvl w:val="0"/>
          <w:numId w:val="10"/>
        </w:numPr>
        <w:spacing w:line="360" w:lineRule="auto"/>
        <w:jc w:val="both"/>
        <w:rPr>
          <w:rFonts w:ascii="David" w:hAnsi="David" w:cs="David"/>
          <w:sz w:val="24"/>
          <w:szCs w:val="24"/>
          <w:rtl/>
        </w:rPr>
      </w:pPr>
      <w:r>
        <w:rPr>
          <w:rFonts w:ascii="David" w:hAnsi="David" w:cs="David"/>
          <w:sz w:val="24"/>
          <w:szCs w:val="24"/>
          <w:u w:val="single"/>
          <w:rtl/>
        </w:rPr>
        <w:t>רביעית</w:t>
      </w:r>
      <w:r>
        <w:rPr>
          <w:rFonts w:ascii="David" w:hAnsi="David" w:cs="David"/>
          <w:sz w:val="24"/>
          <w:szCs w:val="24"/>
          <w:rtl/>
        </w:rPr>
        <w:t>, בדיוק באותה תקופה בה הנתבעים 1 ו-2 כבר לא היו מעוניינים הרכישה, הוצגה להם כנטען היחידה בקומה 28 ברחוב ארלוזורוב בתל אביב. ולמרות שלא היו מעוניינים ברכישה כלשהי – כפי שהודיעו לתובע, הרי הם דווקא הגישו הצעה לרכישת היחידה בקומה 28.</w:t>
      </w:r>
    </w:p>
    <w:p w:rsidR="001F2927" w:rsidRDefault="001F2927" w:rsidP="001F2927">
      <w:pPr>
        <w:pStyle w:val="ad"/>
        <w:rPr>
          <w:rFonts w:ascii="David" w:hAnsi="David" w:cs="David"/>
          <w:sz w:val="24"/>
          <w:szCs w:val="24"/>
        </w:rPr>
      </w:pPr>
    </w:p>
    <w:p w:rsidR="001F2927" w:rsidRDefault="001F2927" w:rsidP="001F2927">
      <w:pPr>
        <w:pStyle w:val="ad"/>
        <w:numPr>
          <w:ilvl w:val="0"/>
          <w:numId w:val="10"/>
        </w:numPr>
        <w:spacing w:line="360" w:lineRule="auto"/>
        <w:jc w:val="both"/>
        <w:rPr>
          <w:rFonts w:ascii="David" w:hAnsi="David" w:cs="David"/>
          <w:sz w:val="24"/>
          <w:szCs w:val="24"/>
          <w:rtl/>
        </w:rPr>
      </w:pPr>
      <w:r>
        <w:rPr>
          <w:rFonts w:ascii="David" w:hAnsi="David" w:cs="David"/>
          <w:sz w:val="24"/>
          <w:szCs w:val="24"/>
          <w:u w:val="single"/>
          <w:rtl/>
        </w:rPr>
        <w:lastRenderedPageBreak/>
        <w:t>חמישית</w:t>
      </w:r>
      <w:r>
        <w:rPr>
          <w:rFonts w:ascii="David" w:hAnsi="David" w:cs="David"/>
          <w:sz w:val="24"/>
          <w:szCs w:val="24"/>
          <w:rtl/>
        </w:rPr>
        <w:t>, ולבסוף, בחודש דצמבר 2020 החליטו הנתבעים 1 ו-2 לרכוש את כל קומה 28. זאת כאשר ראו את כל הקומה כשהיא אינה מחולקת וברמת מעטפת. כך ראו את הקומה כבר כשהציג התובע את מחציתה. כך ראו הנתבעים 1 ו-2 את הקומה, כאשר כנטען זו הוצגה על ידי מתווכת חדשה.</w:t>
      </w:r>
    </w:p>
    <w:p w:rsidR="001F2927" w:rsidRDefault="001F2927" w:rsidP="001F2927">
      <w:pPr>
        <w:spacing w:line="360" w:lineRule="auto"/>
        <w:ind w:left="536"/>
        <w:jc w:val="both"/>
        <w:rPr>
          <w:rFonts w:ascii="David" w:hAnsi="David"/>
        </w:rPr>
      </w:pPr>
      <w:r>
        <w:rPr>
          <w:rFonts w:ascii="David" w:hAnsi="David"/>
          <w:rtl/>
        </w:rPr>
        <w:t>מעת שהנתבעים רכשו את שטח המקרקעין שהוצג להם על ידי התובע – הרי ממילא התובע זכאי לדמי תיווך בגין כך. מה סכום דמי התיווך? האם סך השווה ל-2% מהתמורה בגין מלוא הקומה, או 2% מהתמורה בגין היחידה שהוצגה? על כך בפסקה הבאה.</w:t>
      </w:r>
    </w:p>
    <w:p w:rsidR="001F2927" w:rsidRDefault="001F2927" w:rsidP="001F2927">
      <w:pPr>
        <w:pStyle w:val="ad"/>
        <w:spacing w:line="360" w:lineRule="auto"/>
        <w:ind w:left="536"/>
        <w:jc w:val="both"/>
        <w:rPr>
          <w:rFonts w:ascii="David" w:hAnsi="David" w:cs="David"/>
          <w:b/>
          <w:bCs/>
          <w:sz w:val="24"/>
          <w:szCs w:val="24"/>
          <w:rtl/>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היקף דמי התיווך לו זכאי התובע</w:t>
      </w:r>
    </w:p>
    <w:p w:rsidR="001F2927" w:rsidRDefault="001F2927" w:rsidP="001F2927">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התובע עותר לדמי תיווך בסך השווה ל – 2% בצירוף מע"מ, ממלוא סכום התמורה ששילמו הנתבעים 1 ו-2. מלוא הסכום בגין </w:t>
      </w:r>
      <w:r>
        <w:rPr>
          <w:rFonts w:ascii="David" w:hAnsi="David" w:cs="David"/>
          <w:sz w:val="24"/>
          <w:szCs w:val="24"/>
          <w:u w:val="single"/>
          <w:rtl/>
        </w:rPr>
        <w:t>מלוא</w:t>
      </w:r>
      <w:r>
        <w:rPr>
          <w:rFonts w:ascii="David" w:hAnsi="David" w:cs="David"/>
          <w:sz w:val="24"/>
          <w:szCs w:val="24"/>
          <w:rtl/>
        </w:rPr>
        <w:t xml:space="preserve"> קומה 28 בבנין המגורים, זאת למרות שהתובע הציג רק מחצית מקומת המגורים. אין מקום להיעתר לכך. משהציג התובע מחצית מהקומה, הרי דמי התיווך ייגזרו רק ממחצית עלות הרכישה. </w:t>
      </w:r>
    </w:p>
    <w:p w:rsidR="001F2927" w:rsidRDefault="001F2927" w:rsidP="001F2927">
      <w:pPr>
        <w:pStyle w:val="ad"/>
        <w:spacing w:line="360" w:lineRule="auto"/>
        <w:ind w:left="896"/>
        <w:jc w:val="both"/>
        <w:rPr>
          <w:rFonts w:ascii="David" w:hAnsi="David" w:cs="David"/>
          <w:sz w:val="24"/>
          <w:szCs w:val="24"/>
        </w:rPr>
      </w:pPr>
    </w:p>
    <w:p w:rsidR="001F2927" w:rsidRDefault="001F2927" w:rsidP="001F2927">
      <w:pPr>
        <w:pStyle w:val="ad"/>
        <w:numPr>
          <w:ilvl w:val="0"/>
          <w:numId w:val="11"/>
        </w:numPr>
        <w:spacing w:line="360" w:lineRule="auto"/>
        <w:jc w:val="both"/>
        <w:rPr>
          <w:rFonts w:ascii="David" w:hAnsi="David" w:cs="David"/>
          <w:sz w:val="24"/>
          <w:szCs w:val="24"/>
        </w:rPr>
      </w:pPr>
      <w:r>
        <w:rPr>
          <w:rFonts w:ascii="David" w:hAnsi="David" w:cs="David"/>
          <w:sz w:val="24"/>
          <w:szCs w:val="24"/>
          <w:rtl/>
        </w:rPr>
        <w:t xml:space="preserve">הסכם התיווך כלל, כאמור, נכסים שונים ובתוכם הנכס שהיה מחצית מקומה 28 ברחוב ארלוזורוב בתל אביב. דמי התיווך נקבעו כנגזרת של התמורה ששולמה </w:t>
      </w:r>
      <w:r>
        <w:rPr>
          <w:rFonts w:ascii="David" w:hAnsi="David" w:cs="David"/>
          <w:sz w:val="24"/>
          <w:szCs w:val="24"/>
          <w:u w:val="single"/>
          <w:rtl/>
        </w:rPr>
        <w:t>בגין הנכס שהוצג</w:t>
      </w:r>
      <w:r>
        <w:rPr>
          <w:rFonts w:ascii="David" w:hAnsi="David" w:cs="David"/>
          <w:sz w:val="24"/>
          <w:szCs w:val="24"/>
          <w:rtl/>
        </w:rPr>
        <w:t>. לענין זה אצטט, פעם נוספת, את סעיף 4 להסכם התיווך אשר קבע כי –</w:t>
      </w:r>
    </w:p>
    <w:p w:rsidR="001F2927" w:rsidRDefault="001F2927" w:rsidP="001F2927">
      <w:pPr>
        <w:pStyle w:val="ad"/>
        <w:rPr>
          <w:rFonts w:ascii="David" w:hAnsi="David" w:cs="David"/>
          <w:sz w:val="24"/>
          <w:szCs w:val="24"/>
        </w:rPr>
      </w:pPr>
    </w:p>
    <w:p w:rsidR="001F2927" w:rsidRDefault="001F2927" w:rsidP="001F2927">
      <w:pPr>
        <w:pStyle w:val="ad"/>
        <w:spacing w:line="360" w:lineRule="auto"/>
        <w:ind w:left="896"/>
        <w:jc w:val="right"/>
        <w:rPr>
          <w:rFonts w:ascii="David" w:hAnsi="David" w:cs="David"/>
          <w:sz w:val="24"/>
          <w:szCs w:val="24"/>
          <w:rtl/>
        </w:rPr>
      </w:pPr>
      <w:r>
        <w:rPr>
          <w:rFonts w:ascii="David" w:hAnsi="David" w:cs="David"/>
          <w:b/>
          <w:bCs/>
          <w:sz w:val="24"/>
          <w:szCs w:val="24"/>
        </w:rPr>
        <w:t xml:space="preserve">"I undertake to pay the broker immediately upon the signing of a binding agreement </w:t>
      </w:r>
      <w:r>
        <w:rPr>
          <w:rFonts w:ascii="David" w:hAnsi="David" w:cs="David"/>
          <w:b/>
          <w:bCs/>
          <w:sz w:val="24"/>
          <w:szCs w:val="24"/>
          <w:u w:val="single"/>
        </w:rPr>
        <w:t>with respect to the properties presented to us</w:t>
      </w:r>
      <w:r>
        <w:rPr>
          <w:rFonts w:ascii="David" w:hAnsi="David" w:cs="David"/>
          <w:b/>
          <w:bCs/>
          <w:sz w:val="24"/>
          <w:szCs w:val="24"/>
        </w:rPr>
        <w:t>…"</w:t>
      </w:r>
      <w:r>
        <w:rPr>
          <w:rFonts w:ascii="David" w:hAnsi="David" w:cs="David"/>
          <w:sz w:val="24"/>
          <w:szCs w:val="24"/>
          <w:rtl/>
        </w:rPr>
        <w:t xml:space="preserve"> </w:t>
      </w:r>
    </w:p>
    <w:p w:rsidR="001F2927" w:rsidRDefault="001F2927" w:rsidP="001F2927">
      <w:pPr>
        <w:pStyle w:val="listparagraph"/>
        <w:spacing w:after="0" w:line="330" w:lineRule="atLeast"/>
        <w:ind w:left="973"/>
        <w:jc w:val="both"/>
        <w:rPr>
          <w:rFonts w:ascii="David" w:hAnsi="David" w:cs="David"/>
          <w:color w:val="000000"/>
          <w:sz w:val="24"/>
          <w:szCs w:val="24"/>
        </w:rPr>
      </w:pPr>
      <w:r>
        <w:rPr>
          <w:rFonts w:ascii="David" w:hAnsi="David" w:cs="David"/>
          <w:color w:val="000000"/>
          <w:sz w:val="24"/>
          <w:szCs w:val="24"/>
          <w:rtl/>
        </w:rPr>
        <w:t>מכאן ניתן להבין שדמי התיווך שישולמו בהתאם להסכם התיווך, הם נגזרת מהתמורה שתתקבל מהנכסים שהוצגו במסגרת הסכם התיווך. התובע רשאי לתבוע דמי תיווך בגין נכס שלא הוצג על ידו.</w:t>
      </w:r>
    </w:p>
    <w:p w:rsidR="001F2927" w:rsidRDefault="001F2927" w:rsidP="001F2927">
      <w:pPr>
        <w:pStyle w:val="listparagraph"/>
        <w:spacing w:after="0" w:line="330" w:lineRule="atLeast"/>
        <w:ind w:left="973"/>
        <w:jc w:val="both"/>
        <w:rPr>
          <w:rFonts w:ascii="David" w:hAnsi="David" w:cs="David"/>
          <w:color w:val="000000"/>
          <w:sz w:val="24"/>
          <w:szCs w:val="24"/>
          <w:rtl/>
        </w:rPr>
      </w:pPr>
    </w:p>
    <w:p w:rsidR="001F2927" w:rsidRDefault="001F2927" w:rsidP="001F2927">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 xml:space="preserve">אין חולק על כך שהסכם התיווך מכוחו דורש התובע דמי תיווך התייחס אך ורק </w:t>
      </w:r>
      <w:r>
        <w:rPr>
          <w:rFonts w:ascii="David" w:hAnsi="David" w:cs="David"/>
          <w:color w:val="000000"/>
          <w:sz w:val="24"/>
          <w:szCs w:val="24"/>
          <w:u w:val="single"/>
          <w:rtl/>
        </w:rPr>
        <w:t>למחצית</w:t>
      </w:r>
      <w:r>
        <w:rPr>
          <w:rFonts w:ascii="David" w:hAnsi="David" w:cs="David"/>
          <w:color w:val="000000"/>
          <w:sz w:val="24"/>
          <w:szCs w:val="24"/>
          <w:rtl/>
        </w:rPr>
        <w:t xml:space="preserve"> מקומה 28 בבנין המגורים. הסכם התיווך נוסח היטב ובהקפדה ותיאר במדויק את מחצית הקומה, תוך התייחסות אף לכיווני האוויר של הנכס.</w:t>
      </w:r>
    </w:p>
    <w:p w:rsidR="001F2927" w:rsidRDefault="001F2927" w:rsidP="001F2927">
      <w:pPr>
        <w:pStyle w:val="ad"/>
        <w:spacing w:line="360" w:lineRule="auto"/>
        <w:ind w:left="896"/>
        <w:jc w:val="both"/>
        <w:rPr>
          <w:rFonts w:ascii="David" w:hAnsi="David" w:cs="David"/>
          <w:color w:val="000000"/>
          <w:sz w:val="24"/>
          <w:szCs w:val="24"/>
        </w:rPr>
      </w:pP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u w:val="single"/>
          <w:rtl/>
        </w:rPr>
        <w:t>זאת ועוד</w:t>
      </w:r>
      <w:r>
        <w:rPr>
          <w:rFonts w:ascii="David" w:hAnsi="David" w:cs="David"/>
          <w:color w:val="000000"/>
          <w:sz w:val="24"/>
          <w:szCs w:val="24"/>
          <w:rtl/>
        </w:rPr>
        <w:t xml:space="preserve">,  כאשר ביקש התובע להתייחס לשטחי נדל"ן נוספים </w:t>
      </w:r>
      <w:r>
        <w:rPr>
          <w:rFonts w:ascii="David" w:hAnsi="David" w:cs="David"/>
          <w:color w:val="000000"/>
          <w:sz w:val="24"/>
          <w:szCs w:val="24"/>
          <w:u w:val="single"/>
          <w:rtl/>
        </w:rPr>
        <w:t>באותו בנין מגורים</w:t>
      </w:r>
      <w:r>
        <w:rPr>
          <w:rFonts w:ascii="David" w:hAnsi="David" w:cs="David"/>
          <w:color w:val="000000"/>
          <w:sz w:val="24"/>
          <w:szCs w:val="24"/>
          <w:rtl/>
        </w:rPr>
        <w:t>, הרי אלה הוגדרו בנפרד. וכך הסכם התיווך כולל שטח מקרקעין בקומה 27, ובנפרד שטח מקרקעין בקומה 7 של הבנין, ובנפרד שטח מקרקעין בקומה 3. ועוד בנפרד – שטח מקרקעין שהא מחצית מקומה 28 בבנין המגורים.</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 xml:space="preserve">בהינתן העובדה ששטח המקרקעין ביחס אליו התייחס הסכם התיווך הוא רק </w:t>
      </w:r>
      <w:r>
        <w:rPr>
          <w:rFonts w:ascii="David" w:hAnsi="David" w:cs="David"/>
          <w:color w:val="000000"/>
          <w:sz w:val="24"/>
          <w:szCs w:val="24"/>
          <w:u w:val="single"/>
          <w:rtl/>
        </w:rPr>
        <w:t>מחצית</w:t>
      </w:r>
      <w:r>
        <w:rPr>
          <w:rFonts w:ascii="David" w:hAnsi="David" w:cs="David"/>
          <w:color w:val="000000"/>
          <w:sz w:val="24"/>
          <w:szCs w:val="24"/>
          <w:rtl/>
        </w:rPr>
        <w:t xml:space="preserve"> מקומה 28 בבנין – הרי דמי התיווך להם זכאי התובע הם רק בגין מחצית הקומה. כאן יודגש התובע </w:t>
      </w:r>
      <w:r>
        <w:rPr>
          <w:rFonts w:ascii="David" w:hAnsi="David" w:cs="David"/>
          <w:color w:val="000000"/>
          <w:sz w:val="24"/>
          <w:szCs w:val="24"/>
          <w:rtl/>
        </w:rPr>
        <w:lastRenderedPageBreak/>
        <w:t xml:space="preserve">ביסס היטב תביעתו על הסכם התיווך ולא טען לעשיית עושר ולא במשפט או לכל תשלום אליו הוא זכאי שלא מכח ההסכם. </w:t>
      </w:r>
    </w:p>
    <w:p w:rsidR="001F2927" w:rsidRDefault="001F2927" w:rsidP="001F2927">
      <w:pPr>
        <w:pStyle w:val="ad"/>
        <w:spacing w:line="360" w:lineRule="auto"/>
        <w:ind w:left="896"/>
        <w:jc w:val="both"/>
        <w:rPr>
          <w:rFonts w:ascii="David" w:hAnsi="David" w:cs="David"/>
          <w:color w:val="000000"/>
          <w:sz w:val="24"/>
          <w:szCs w:val="24"/>
        </w:rPr>
      </w:pPr>
    </w:p>
    <w:p w:rsidR="001F2927" w:rsidRDefault="001F2927" w:rsidP="00692726">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 xml:space="preserve">למען הסר ספק - נתתי דעתי לכך שגם המתווכת הנוספת והמאוחרת, גב' טליה וייץ הציגה בתחילה רק מחצית מקומה 28 ולבסוף נרכשה הקומה כולה. עוד נתתי דעתי לאפשרות שאילו התובע היה מעורב בעסקה – הרי היה משנה ומוסיף להסכם גם את המחצית השניה של קומה 28.  עוד נתתי דעתי לכך שההסכם קובע שהתובע יהיה זכאי לדמי תיווך בגין נכסים שהוצגו על ידו, גם אם ההצגה היא באמצעות צד שלישי וכלשון ההסכם </w:t>
      </w:r>
      <w:r w:rsidR="00692726">
        <w:rPr>
          <w:rFonts w:ascii="David" w:hAnsi="David" w:cs="David"/>
          <w:color w:val="000000"/>
          <w:sz w:val="24"/>
          <w:szCs w:val="24"/>
          <w:rtl/>
        </w:rPr>
        <w:t>–</w:t>
      </w:r>
      <w:r>
        <w:rPr>
          <w:rFonts w:ascii="David" w:hAnsi="David" w:cs="David"/>
          <w:color w:val="000000"/>
          <w:sz w:val="24"/>
          <w:szCs w:val="24"/>
          <w:rtl/>
        </w:rPr>
        <w:t xml:space="preserve"> </w:t>
      </w:r>
      <w:r w:rsidR="00692726">
        <w:rPr>
          <w:rFonts w:ascii="David" w:hAnsi="David" w:cs="David"/>
          <w:b/>
          <w:bCs/>
          <w:sz w:val="24"/>
          <w:szCs w:val="24"/>
        </w:rPr>
        <w:t>"</w:t>
      </w:r>
      <w:r>
        <w:rPr>
          <w:rFonts w:ascii="David" w:hAnsi="David" w:cs="David"/>
          <w:b/>
          <w:bCs/>
          <w:sz w:val="24"/>
          <w:szCs w:val="24"/>
        </w:rPr>
        <w:t>directly or by third party</w:t>
      </w:r>
      <w:r>
        <w:rPr>
          <w:rFonts w:ascii="David" w:hAnsi="David" w:cs="David"/>
          <w:color w:val="000000"/>
          <w:sz w:val="24"/>
          <w:szCs w:val="24"/>
          <w:rtl/>
        </w:rPr>
        <w:t xml:space="preserve">". </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u w:val="single"/>
          <w:rtl/>
        </w:rPr>
        <w:t>עדיין</w:t>
      </w:r>
      <w:r>
        <w:rPr>
          <w:rFonts w:ascii="David" w:hAnsi="David" w:cs="David"/>
          <w:color w:val="000000"/>
          <w:sz w:val="24"/>
          <w:szCs w:val="24"/>
          <w:rtl/>
        </w:rPr>
        <w:t>, אין בכל אלה כדי לשנות בדיעבד את הוראות הסכם התיווך. ובמילים פשוטות – כאשר נדרש תשלום מכח ההסכם, יש לבחון מה הנכס שהוצג במסגרת ההסכם. דמי התיווך מכח ההסכם מוגבלים לנכס שהוצג מכח ההסכם. כאשר הנכס שהוצג הוא מחצית קומה 28 בבנין המגורים – הרי בוודאי דמי התיווך יתייחסו אך ורק לתמורה בגין אותה מחצית קומה.</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numPr>
          <w:ilvl w:val="0"/>
          <w:numId w:val="11"/>
        </w:numPr>
        <w:spacing w:line="360" w:lineRule="auto"/>
        <w:jc w:val="both"/>
        <w:rPr>
          <w:rFonts w:ascii="David" w:hAnsi="David" w:cs="David"/>
          <w:color w:val="000000"/>
          <w:sz w:val="24"/>
          <w:szCs w:val="24"/>
          <w:rtl/>
        </w:rPr>
      </w:pPr>
      <w:r>
        <w:rPr>
          <w:rFonts w:ascii="David" w:hAnsi="David" w:cs="David"/>
          <w:b/>
          <w:bCs/>
          <w:color w:val="000000"/>
          <w:sz w:val="24"/>
          <w:szCs w:val="24"/>
          <w:u w:val="single"/>
          <w:rtl/>
        </w:rPr>
        <w:t>סוף דבר ביחס לתמורה לה זכאי התובע</w:t>
      </w:r>
      <w:r>
        <w:rPr>
          <w:rFonts w:ascii="David" w:hAnsi="David" w:cs="David"/>
          <w:color w:val="000000"/>
          <w:sz w:val="24"/>
          <w:szCs w:val="24"/>
          <w:rtl/>
        </w:rPr>
        <w:t xml:space="preserve"> - התביעה בסך של 1,965,600 ₪ התייחסה לדמי תיווך הנגזרים מתמורה בסך של 84,000,000 ₪. לאור האמור לעיל ומשהוצגה רק מחצית הקומה שנרכשה, הרי דמי התיווך להם זכאי התובע הם – </w:t>
      </w:r>
      <w:r>
        <w:rPr>
          <w:rFonts w:ascii="David" w:hAnsi="David" w:cs="David"/>
          <w:b/>
          <w:bCs/>
          <w:color w:val="000000"/>
          <w:sz w:val="24"/>
          <w:szCs w:val="24"/>
          <w:u w:val="single"/>
          <w:rtl/>
        </w:rPr>
        <w:t>982,800 ₪</w:t>
      </w:r>
      <w:r>
        <w:rPr>
          <w:rFonts w:ascii="David" w:hAnsi="David" w:cs="David"/>
          <w:color w:val="000000"/>
          <w:sz w:val="24"/>
          <w:szCs w:val="24"/>
          <w:rtl/>
        </w:rPr>
        <w:t xml:space="preserve">(= 2 : 1,965,600).  </w:t>
      </w:r>
    </w:p>
    <w:p w:rsidR="001F2927" w:rsidRDefault="001F2927" w:rsidP="001F2927">
      <w:pPr>
        <w:pStyle w:val="ad"/>
        <w:spacing w:line="360" w:lineRule="auto"/>
        <w:ind w:left="-739"/>
        <w:jc w:val="both"/>
        <w:rPr>
          <w:rFonts w:ascii="David" w:hAnsi="David" w:cs="David"/>
          <w:sz w:val="24"/>
          <w:szCs w:val="24"/>
          <w:rtl/>
        </w:rPr>
      </w:pPr>
    </w:p>
    <w:p w:rsidR="001F2927" w:rsidRDefault="001F2927" w:rsidP="001F2927">
      <w:pPr>
        <w:pStyle w:val="ad"/>
        <w:numPr>
          <w:ilvl w:val="1"/>
          <w:numId w:val="1"/>
        </w:numPr>
        <w:spacing w:line="360" w:lineRule="auto"/>
        <w:ind w:left="536" w:hanging="708"/>
        <w:jc w:val="both"/>
        <w:rPr>
          <w:rFonts w:ascii="David" w:hAnsi="David" w:cs="David"/>
          <w:sz w:val="24"/>
          <w:szCs w:val="24"/>
        </w:rPr>
      </w:pPr>
      <w:r>
        <w:rPr>
          <w:rFonts w:ascii="David" w:hAnsi="David" w:cs="David"/>
          <w:b/>
          <w:bCs/>
          <w:sz w:val="24"/>
          <w:szCs w:val="24"/>
          <w:u w:val="single"/>
          <w:rtl/>
        </w:rPr>
        <w:t>לסיכום השאלה השניה משלוש - האם התובע זכאי לדמי תיווך, ואם התשובה חיובית - מה סכום דמי התיווך לו הוא זכאי?</w:t>
      </w:r>
    </w:p>
    <w:p w:rsidR="001F2927" w:rsidRDefault="001F2927" w:rsidP="001F2927">
      <w:pPr>
        <w:pStyle w:val="ad"/>
        <w:spacing w:line="360" w:lineRule="auto"/>
        <w:ind w:left="536"/>
        <w:jc w:val="both"/>
        <w:rPr>
          <w:rFonts w:ascii="David" w:hAnsi="David" w:cs="David"/>
          <w:sz w:val="24"/>
          <w:szCs w:val="24"/>
        </w:rPr>
      </w:pPr>
      <w:r>
        <w:rPr>
          <w:rFonts w:ascii="David" w:hAnsi="David" w:cs="David"/>
          <w:sz w:val="24"/>
          <w:szCs w:val="24"/>
          <w:rtl/>
        </w:rPr>
        <w:t>התובע אכן זכאי לדמי תיווך. עם זאת, סכום דמי התיווך להם הוא זכאי הוא 982,800 ₪ ולא 1,965,600 ₪ כפי שנתבע.</w:t>
      </w:r>
    </w:p>
    <w:p w:rsidR="001F2927" w:rsidRDefault="001F2927" w:rsidP="001F2927">
      <w:pPr>
        <w:pStyle w:val="ad"/>
        <w:spacing w:line="360" w:lineRule="auto"/>
        <w:ind w:left="-739"/>
        <w:jc w:val="both"/>
        <w:rPr>
          <w:rFonts w:ascii="David" w:hAnsi="David" w:cs="David"/>
          <w:b/>
          <w:bCs/>
          <w:sz w:val="24"/>
          <w:szCs w:val="24"/>
        </w:rPr>
      </w:pPr>
    </w:p>
    <w:p w:rsidR="001F2927" w:rsidRDefault="001F2927" w:rsidP="001F2927">
      <w:pPr>
        <w:pStyle w:val="ad"/>
        <w:spacing w:line="360" w:lineRule="auto"/>
        <w:ind w:left="-739"/>
        <w:jc w:val="both"/>
        <w:rPr>
          <w:rFonts w:ascii="David" w:hAnsi="David" w:cs="David"/>
          <w:b/>
          <w:bCs/>
          <w:sz w:val="24"/>
          <w:szCs w:val="24"/>
          <w:rtl/>
        </w:rPr>
      </w:pPr>
      <w:r>
        <w:rPr>
          <w:rFonts w:ascii="David" w:hAnsi="David" w:cs="David"/>
          <w:b/>
          <w:bCs/>
          <w:sz w:val="24"/>
          <w:szCs w:val="24"/>
          <w:rtl/>
        </w:rPr>
        <w:t>הערת מעבר – משנקבע שאכן נחתם הסכם תיווך מחייב וכן שהתובע זכאי לסך של 982,800 ₪, הרי על פניו ניתן לגשת לסיומו של פסק הדין. לצד זאת ולמעלה מהנדרש אתייחס לטענות הנתבעים באשר להיעדר בלעדיות וכן ביחס לתקופת הזמן שחלפה ממועד הסכם התיווך הנטען ועד למועד הרכישה על ידי הנתבעים 1-2. על כך בפסקה הבאה.</w:t>
      </w:r>
    </w:p>
    <w:p w:rsidR="001F2927" w:rsidRDefault="001F2927" w:rsidP="001F2927">
      <w:pPr>
        <w:pStyle w:val="ad"/>
        <w:spacing w:line="360" w:lineRule="auto"/>
        <w:ind w:left="-739"/>
        <w:jc w:val="both"/>
        <w:rPr>
          <w:rFonts w:ascii="David" w:hAnsi="David" w:cs="David"/>
          <w:sz w:val="24"/>
          <w:szCs w:val="24"/>
        </w:rPr>
      </w:pPr>
    </w:p>
    <w:p w:rsidR="001F2927" w:rsidRDefault="001F2927" w:rsidP="001F2927">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sz w:val="24"/>
          <w:szCs w:val="24"/>
          <w:u w:val="single"/>
          <w:rtl/>
        </w:rPr>
        <w:t>שאלה שלישית משלוש - כיצד להתייחס לטענת הנתבעים בדבר היעדר בלעדיות וכן ביחס לתקופת הזמן שחלפה ממועד הסכם התיווך הנטען ועד למועד הרכישה</w:t>
      </w:r>
    </w:p>
    <w:p w:rsidR="001F2927" w:rsidRDefault="001F2927" w:rsidP="001F2927">
      <w:pPr>
        <w:pStyle w:val="ad"/>
        <w:spacing w:line="360" w:lineRule="auto"/>
        <w:ind w:left="-172"/>
        <w:jc w:val="both"/>
        <w:rPr>
          <w:rFonts w:ascii="David" w:hAnsi="David" w:cs="David"/>
          <w:color w:val="000000"/>
          <w:sz w:val="24"/>
          <w:szCs w:val="24"/>
        </w:rPr>
      </w:pPr>
    </w:p>
    <w:p w:rsidR="001F2927" w:rsidRDefault="001F2927" w:rsidP="001F2927">
      <w:pPr>
        <w:pStyle w:val="ad"/>
        <w:numPr>
          <w:ilvl w:val="1"/>
          <w:numId w:val="1"/>
        </w:numPr>
        <w:spacing w:line="360" w:lineRule="auto"/>
        <w:ind w:left="536" w:hanging="567"/>
        <w:jc w:val="both"/>
        <w:rPr>
          <w:rFonts w:ascii="David" w:hAnsi="David" w:cs="David"/>
          <w:color w:val="000000"/>
          <w:sz w:val="24"/>
          <w:szCs w:val="24"/>
        </w:rPr>
      </w:pPr>
      <w:r>
        <w:rPr>
          <w:rFonts w:ascii="David" w:hAnsi="David" w:cs="David"/>
          <w:b/>
          <w:bCs/>
          <w:color w:val="000000"/>
          <w:sz w:val="24"/>
          <w:szCs w:val="24"/>
          <w:u w:val="single"/>
          <w:rtl/>
        </w:rPr>
        <w:t>אין לקבל טענת הנתבעים לפיה אינם חייבים בתשלום מכיוון שלא התחייבו לבלעדיות לתובע</w:t>
      </w:r>
    </w:p>
    <w:p w:rsidR="001F2927" w:rsidRDefault="001F2927" w:rsidP="001F2927">
      <w:pPr>
        <w:pStyle w:val="ad"/>
        <w:numPr>
          <w:ilvl w:val="0"/>
          <w:numId w:val="12"/>
        </w:numPr>
        <w:spacing w:line="360" w:lineRule="auto"/>
        <w:jc w:val="both"/>
        <w:rPr>
          <w:rFonts w:ascii="David" w:hAnsi="David" w:cs="David"/>
          <w:color w:val="000000"/>
          <w:sz w:val="24"/>
          <w:szCs w:val="24"/>
        </w:rPr>
      </w:pPr>
      <w:r>
        <w:rPr>
          <w:rFonts w:ascii="David" w:hAnsi="David" w:cs="David"/>
          <w:color w:val="000000"/>
          <w:sz w:val="24"/>
          <w:szCs w:val="24"/>
          <w:rtl/>
        </w:rPr>
        <w:t>הנתבעים טוענים שהיחידה הוצגה להם על ידי מתווכת חדשה, כשנה ושלושה חודשים לאחר שהוצגה להם על ידי התובע. עוד מוסיפים הנתבעים שלא התחייבו לבלעדיות כלפי התובע ומכאן הם סבורים, שהתובע אינו זכאי לדמי תיווך.</w:t>
      </w:r>
    </w:p>
    <w:p w:rsidR="001F2927" w:rsidRDefault="001F2927" w:rsidP="001F2927">
      <w:pPr>
        <w:pStyle w:val="ad"/>
        <w:spacing w:line="360" w:lineRule="auto"/>
        <w:ind w:left="896"/>
        <w:jc w:val="both"/>
        <w:rPr>
          <w:rFonts w:ascii="David" w:hAnsi="David" w:cs="David"/>
          <w:color w:val="000000"/>
          <w:sz w:val="24"/>
          <w:szCs w:val="24"/>
        </w:rPr>
      </w:pPr>
    </w:p>
    <w:p w:rsidR="001F2927" w:rsidRDefault="001F2927" w:rsidP="001F2927">
      <w:pPr>
        <w:pStyle w:val="ad"/>
        <w:numPr>
          <w:ilvl w:val="0"/>
          <w:numId w:val="12"/>
        </w:numPr>
        <w:spacing w:line="360" w:lineRule="auto"/>
        <w:jc w:val="both"/>
        <w:rPr>
          <w:rFonts w:ascii="David" w:hAnsi="David" w:cs="David"/>
          <w:color w:val="000000"/>
          <w:sz w:val="24"/>
          <w:szCs w:val="24"/>
        </w:rPr>
      </w:pPr>
      <w:r>
        <w:rPr>
          <w:rFonts w:ascii="David" w:hAnsi="David" w:cs="David"/>
          <w:color w:val="000000"/>
          <w:sz w:val="24"/>
          <w:szCs w:val="24"/>
          <w:rtl/>
        </w:rPr>
        <w:t xml:space="preserve">אין לקבל את טענת הנתבעים. תניית בלעדיות בהסכמי תיווך פועלת ברגיל כלפי </w:t>
      </w:r>
      <w:r>
        <w:rPr>
          <w:rFonts w:ascii="David" w:hAnsi="David" w:cs="David"/>
          <w:color w:val="000000"/>
          <w:sz w:val="24"/>
          <w:szCs w:val="24"/>
          <w:u w:val="single"/>
          <w:rtl/>
        </w:rPr>
        <w:t>מוכרים</w:t>
      </w:r>
      <w:r>
        <w:rPr>
          <w:rFonts w:ascii="David" w:hAnsi="David" w:cs="David"/>
          <w:color w:val="000000"/>
          <w:sz w:val="24"/>
          <w:szCs w:val="24"/>
          <w:rtl/>
        </w:rPr>
        <w:t xml:space="preserve"> המבקשים למכור נכס מסוים ומתחייבים למכור אותו באמצעות מתווך ספציפי. הטענה לא תפעל ביחס </w:t>
      </w:r>
      <w:r>
        <w:rPr>
          <w:rFonts w:ascii="David" w:hAnsi="David" w:cs="David"/>
          <w:color w:val="000000"/>
          <w:sz w:val="24"/>
          <w:szCs w:val="24"/>
          <w:u w:val="single"/>
          <w:rtl/>
        </w:rPr>
        <w:t>לרוכשים</w:t>
      </w:r>
      <w:r>
        <w:rPr>
          <w:rFonts w:ascii="David" w:hAnsi="David" w:cs="David"/>
          <w:color w:val="000000"/>
          <w:sz w:val="24"/>
          <w:szCs w:val="24"/>
          <w:rtl/>
        </w:rPr>
        <w:t xml:space="preserve"> המבקשים לרכוש נכס מסוים, אך מסרבים לשלם דמי תיווך למתווך שהציג את הנכס. טענתם של התובעים אינה במקומה ויש לדחות אותה –</w:t>
      </w:r>
      <w:r>
        <w:rPr>
          <w:rFonts w:ascii="David" w:hAnsi="David" w:cs="David"/>
          <w:color w:val="000000"/>
          <w:sz w:val="24"/>
          <w:szCs w:val="24"/>
          <w:u w:val="single"/>
          <w:rtl/>
        </w:rPr>
        <w:t xml:space="preserve"> ראשית ועיקר</w:t>
      </w:r>
      <w:r>
        <w:rPr>
          <w:rFonts w:ascii="David" w:hAnsi="David" w:cs="David"/>
          <w:color w:val="000000"/>
          <w:sz w:val="24"/>
          <w:szCs w:val="24"/>
          <w:rtl/>
        </w:rPr>
        <w:t xml:space="preserve">, יש לדחות את טענת הנתבעים בדבר היעדר בלעדיות, בשל הוראות חוק המתווכים במקרקעין התשנ"ו – 1996; </w:t>
      </w:r>
      <w:r>
        <w:rPr>
          <w:rFonts w:ascii="David" w:hAnsi="David" w:cs="David"/>
          <w:color w:val="000000"/>
          <w:sz w:val="24"/>
          <w:szCs w:val="24"/>
          <w:u w:val="single"/>
          <w:rtl/>
        </w:rPr>
        <w:t>שנית</w:t>
      </w:r>
      <w:r>
        <w:rPr>
          <w:rFonts w:ascii="David" w:hAnsi="David" w:cs="David"/>
          <w:color w:val="000000"/>
          <w:sz w:val="24"/>
          <w:szCs w:val="24"/>
          <w:rtl/>
        </w:rPr>
        <w:t>, יש לדחות טענת הנתבעים גם בשל נימוקים הקשורים לדיני החוזים.</w:t>
      </w:r>
    </w:p>
    <w:p w:rsidR="001F2927" w:rsidRDefault="001F2927" w:rsidP="001F2927">
      <w:pPr>
        <w:pStyle w:val="ad"/>
        <w:rPr>
          <w:rFonts w:ascii="David" w:hAnsi="David" w:cs="David"/>
          <w:color w:val="000000"/>
          <w:sz w:val="24"/>
          <w:szCs w:val="24"/>
        </w:rPr>
      </w:pPr>
    </w:p>
    <w:p w:rsidR="001F2927" w:rsidRDefault="001F2927" w:rsidP="001F2927">
      <w:pPr>
        <w:pStyle w:val="ad"/>
        <w:numPr>
          <w:ilvl w:val="0"/>
          <w:numId w:val="12"/>
        </w:numPr>
        <w:spacing w:line="360" w:lineRule="auto"/>
        <w:jc w:val="both"/>
        <w:rPr>
          <w:rFonts w:ascii="David" w:hAnsi="David" w:cs="David"/>
          <w:color w:val="000000"/>
          <w:sz w:val="24"/>
          <w:szCs w:val="24"/>
          <w:u w:val="single"/>
          <w:rtl/>
        </w:rPr>
      </w:pPr>
      <w:r>
        <w:rPr>
          <w:rFonts w:ascii="David" w:hAnsi="David" w:cs="David"/>
          <w:b/>
          <w:bCs/>
          <w:color w:val="000000"/>
          <w:sz w:val="24"/>
          <w:szCs w:val="24"/>
          <w:u w:val="single"/>
          <w:rtl/>
        </w:rPr>
        <w:t>דחיית טענת הנתבעים (כרוכשים) להיעדר בלעדיות – תוך הפניה לחוק המתווכים במקרקעין</w:t>
      </w:r>
      <w:r>
        <w:rPr>
          <w:rFonts w:ascii="David" w:hAnsi="David" w:cs="David"/>
          <w:color w:val="000000"/>
          <w:sz w:val="24"/>
          <w:szCs w:val="24"/>
          <w:u w:val="single"/>
          <w:rtl/>
        </w:rPr>
        <w:t xml:space="preserve">. </w:t>
      </w:r>
      <w:r>
        <w:rPr>
          <w:rFonts w:ascii="David" w:hAnsi="David" w:cs="David"/>
          <w:b/>
          <w:bCs/>
          <w:color w:val="000000"/>
          <w:sz w:val="24"/>
          <w:szCs w:val="24"/>
          <w:u w:val="single"/>
          <w:rtl/>
        </w:rPr>
        <w:t>הפניה לכך שתניית הבלעדיות מתייחסת דווקא למוכרי נכס וכן שתי ראיות לכך שתניית ה"בלעדיות" מתייחסת ברגיל למוכר נכס ולא לרוכשים, כמו הנתבעים</w:t>
      </w:r>
    </w:p>
    <w:p w:rsidR="001F2927" w:rsidRDefault="001F2927" w:rsidP="001F2927">
      <w:pPr>
        <w:pStyle w:val="ad"/>
        <w:numPr>
          <w:ilvl w:val="0"/>
          <w:numId w:val="7"/>
        </w:numPr>
        <w:spacing w:line="360" w:lineRule="auto"/>
        <w:ind w:left="1440" w:hanging="478"/>
        <w:jc w:val="both"/>
        <w:rPr>
          <w:rFonts w:ascii="David" w:hAnsi="David" w:cs="David"/>
          <w:color w:val="000000"/>
          <w:sz w:val="24"/>
          <w:szCs w:val="24"/>
        </w:rPr>
      </w:pPr>
      <w:r>
        <w:rPr>
          <w:rFonts w:ascii="David" w:hAnsi="David" w:cs="David"/>
          <w:color w:val="000000"/>
          <w:sz w:val="24"/>
          <w:szCs w:val="24"/>
          <w:rtl/>
        </w:rPr>
        <w:t xml:space="preserve">הדעת אינה נוחה ממצב בו </w:t>
      </w:r>
      <w:r>
        <w:rPr>
          <w:rFonts w:ascii="David" w:hAnsi="David" w:cs="David"/>
          <w:color w:val="000000"/>
          <w:sz w:val="24"/>
          <w:szCs w:val="24"/>
          <w:u w:val="single"/>
          <w:rtl/>
        </w:rPr>
        <w:t>רוכש</w:t>
      </w:r>
      <w:r>
        <w:rPr>
          <w:rFonts w:ascii="David" w:hAnsi="David" w:cs="David"/>
          <w:color w:val="000000"/>
          <w:sz w:val="24"/>
          <w:szCs w:val="24"/>
          <w:rtl/>
        </w:rPr>
        <w:t xml:space="preserve"> נכס ישתמש בשירותי מתווך המציג לו את הנכס ולאחר מכן יתחמק מתשלום בתואנה שלא היתה התחייבות לבלעדיות. אכן רוכש נכס רשאי לוותר על הנכס ולא לרכוש אותו בסופו של יום. ואולם, הרוכש אינו יכול לאחוז בחבל משני קצותיו – גם לרכוש את הנכס וגם לחמוק מתשלום דמי תיווך בתואנה של "היעדר בלעדיות".</w:t>
      </w:r>
    </w:p>
    <w:p w:rsidR="001F2927" w:rsidRDefault="001F2927" w:rsidP="001F2927">
      <w:pPr>
        <w:pStyle w:val="ad"/>
        <w:spacing w:line="360" w:lineRule="auto"/>
        <w:ind w:left="1440"/>
        <w:jc w:val="both"/>
        <w:rPr>
          <w:rFonts w:ascii="David" w:hAnsi="David" w:cs="David"/>
          <w:color w:val="000000"/>
          <w:sz w:val="24"/>
          <w:szCs w:val="24"/>
        </w:rPr>
      </w:pPr>
    </w:p>
    <w:p w:rsidR="001F2927" w:rsidRDefault="001F2927" w:rsidP="001F2927">
      <w:pPr>
        <w:pStyle w:val="ad"/>
        <w:numPr>
          <w:ilvl w:val="0"/>
          <w:numId w:val="7"/>
        </w:numPr>
        <w:spacing w:line="360" w:lineRule="auto"/>
        <w:ind w:left="1440" w:hanging="478"/>
        <w:jc w:val="both"/>
        <w:rPr>
          <w:rFonts w:ascii="David" w:hAnsi="David" w:cs="David"/>
          <w:color w:val="000000"/>
          <w:sz w:val="24"/>
          <w:szCs w:val="24"/>
        </w:rPr>
      </w:pPr>
      <w:r>
        <w:rPr>
          <w:rFonts w:ascii="David" w:hAnsi="David" w:cs="David"/>
          <w:color w:val="000000"/>
          <w:sz w:val="24"/>
          <w:szCs w:val="24"/>
          <w:rtl/>
        </w:rPr>
        <w:t xml:space="preserve">שונה הדבר, אגב, ביחס למוכר נכס. מוכר נכס מחויב למתווך, רק ובכפוף בתקופת בלעדיות. זאת מכיוון שמוכר הנכס מוגבל לעסקת מכירה של הנכס אותו הוא מוכר, ומכאן אין להגבילו ו"לשעבדו" למתווך מסוים. </w:t>
      </w:r>
    </w:p>
    <w:p w:rsidR="001F2927" w:rsidRDefault="001F2927" w:rsidP="001F2927">
      <w:pPr>
        <w:pStyle w:val="ad"/>
        <w:spacing w:line="360" w:lineRule="auto"/>
        <w:ind w:left="1440"/>
        <w:jc w:val="both"/>
        <w:rPr>
          <w:rFonts w:ascii="David" w:hAnsi="David" w:cs="David"/>
          <w:color w:val="000000"/>
          <w:sz w:val="24"/>
          <w:szCs w:val="24"/>
        </w:rPr>
      </w:pPr>
      <w:r>
        <w:rPr>
          <w:rFonts w:ascii="David" w:hAnsi="David" w:cs="David"/>
          <w:color w:val="000000"/>
          <w:sz w:val="24"/>
          <w:szCs w:val="24"/>
          <w:rtl/>
        </w:rPr>
        <w:t xml:space="preserve">ודוק - מוכר נכס רשאי למכור רק את נכסו שלו, ומכאן יש להגביל התחייבותו לבלעדיות על מנת שלא יהיה כפוף למתווך אחד לעד. זאת להבדיל מרוכש נכס אשר רשאי לרכוש </w:t>
      </w:r>
      <w:r>
        <w:rPr>
          <w:rFonts w:ascii="David" w:hAnsi="David" w:cs="David"/>
          <w:color w:val="000000"/>
          <w:sz w:val="24"/>
          <w:szCs w:val="24"/>
          <w:u w:val="single"/>
          <w:rtl/>
        </w:rPr>
        <w:t>כל</w:t>
      </w:r>
      <w:r>
        <w:rPr>
          <w:rFonts w:ascii="David" w:hAnsi="David" w:cs="David"/>
          <w:color w:val="000000"/>
          <w:sz w:val="24"/>
          <w:szCs w:val="24"/>
          <w:rtl/>
        </w:rPr>
        <w:t xml:space="preserve"> נכס המוצא למכירה, ומכאן – אף אם נכס מסוים הוצג על ידי מתווך מסוים, הדבר אינו מגביל את הרוכש מרכישת נכסים אחרים.</w:t>
      </w:r>
    </w:p>
    <w:p w:rsidR="001F2927" w:rsidRDefault="001F2927" w:rsidP="001F2927">
      <w:pPr>
        <w:pStyle w:val="ad"/>
        <w:spacing w:line="360" w:lineRule="auto"/>
        <w:ind w:left="1440"/>
        <w:jc w:val="both"/>
        <w:rPr>
          <w:rFonts w:ascii="David" w:hAnsi="David" w:cs="David"/>
          <w:b/>
          <w:bCs/>
          <w:color w:val="000000"/>
          <w:sz w:val="24"/>
          <w:szCs w:val="24"/>
          <w:rtl/>
        </w:rPr>
      </w:pPr>
      <w:r>
        <w:rPr>
          <w:rFonts w:ascii="David" w:hAnsi="David" w:cs="David"/>
          <w:b/>
          <w:bCs/>
          <w:color w:val="000000"/>
          <w:sz w:val="24"/>
          <w:szCs w:val="24"/>
          <w:rtl/>
        </w:rPr>
        <w:t xml:space="preserve">חיזוק לכל האמור לעיל ניתן בהוראות חוק המתווכים במקרקעין, כפי שיובהר להלן.  </w:t>
      </w:r>
    </w:p>
    <w:p w:rsidR="001F2927" w:rsidRDefault="001F2927" w:rsidP="001F2927">
      <w:pPr>
        <w:pStyle w:val="ad"/>
        <w:spacing w:line="360" w:lineRule="auto"/>
        <w:ind w:left="1440"/>
        <w:jc w:val="both"/>
        <w:rPr>
          <w:rFonts w:ascii="David" w:hAnsi="David" w:cs="David"/>
          <w:color w:val="000000"/>
          <w:sz w:val="24"/>
          <w:szCs w:val="24"/>
        </w:rPr>
      </w:pPr>
    </w:p>
    <w:p w:rsidR="001F2927" w:rsidRDefault="001F2927" w:rsidP="001F2927">
      <w:pPr>
        <w:pStyle w:val="ad"/>
        <w:numPr>
          <w:ilvl w:val="0"/>
          <w:numId w:val="7"/>
        </w:numPr>
        <w:spacing w:line="360" w:lineRule="auto"/>
        <w:ind w:left="1440" w:hanging="478"/>
        <w:jc w:val="both"/>
        <w:rPr>
          <w:rFonts w:ascii="David" w:hAnsi="David" w:cs="David"/>
          <w:color w:val="000000"/>
          <w:sz w:val="24"/>
          <w:szCs w:val="24"/>
        </w:rPr>
      </w:pPr>
      <w:r>
        <w:rPr>
          <w:rFonts w:ascii="David" w:hAnsi="David" w:cs="David"/>
          <w:b/>
          <w:bCs/>
          <w:color w:val="000000"/>
          <w:sz w:val="24"/>
          <w:szCs w:val="24"/>
          <w:u w:val="single"/>
          <w:rtl/>
        </w:rPr>
        <w:t>ראיה ראשונה משתיים לכך שתקופת הבלעדיות בחוק המתווכים מתייחסת רק למוכרים</w:t>
      </w:r>
      <w:r>
        <w:rPr>
          <w:rFonts w:ascii="David" w:hAnsi="David" w:cs="David"/>
          <w:color w:val="000000"/>
          <w:sz w:val="24"/>
          <w:szCs w:val="24"/>
          <w:rtl/>
        </w:rPr>
        <w:t xml:space="preserve"> - סעיף 9(ב) ל</w:t>
      </w:r>
      <w:r>
        <w:rPr>
          <w:rFonts w:ascii="David" w:hAnsi="David" w:cs="David"/>
          <w:color w:val="000000"/>
          <w:sz w:val="24"/>
          <w:szCs w:val="24"/>
          <w:u w:val="single"/>
          <w:rtl/>
        </w:rPr>
        <w:t>חוק המתווכים במקרקעין</w:t>
      </w:r>
      <w:r>
        <w:rPr>
          <w:rFonts w:ascii="David" w:hAnsi="David" w:cs="David"/>
          <w:color w:val="000000"/>
          <w:sz w:val="24"/>
          <w:szCs w:val="24"/>
          <w:rtl/>
        </w:rPr>
        <w:t xml:space="preserve">  קובע שמתווך רשאי לדרוש בלעדיות מלקוח, ובלבד שנחתם הסכם נפרד וכן בתנאי נוסף- שהמתווך </w:t>
      </w:r>
      <w:r>
        <w:rPr>
          <w:rFonts w:ascii="David" w:hAnsi="David" w:cs="David"/>
          <w:color w:val="000000"/>
          <w:sz w:val="24"/>
          <w:szCs w:val="24"/>
          <w:u w:val="single"/>
          <w:rtl/>
        </w:rPr>
        <w:t>ביצע פעולות שיווק</w:t>
      </w:r>
      <w:r>
        <w:rPr>
          <w:rFonts w:ascii="David" w:hAnsi="David" w:cs="David"/>
          <w:color w:val="000000"/>
          <w:sz w:val="24"/>
          <w:szCs w:val="24"/>
          <w:rtl/>
        </w:rPr>
        <w:t>.  בהמשך קובע סעיפים 9(ב1) וכן 9(ב2) ואילך תקופת בלעדיות מירביות שלא ניתן לחרוג מהן.</w:t>
      </w:r>
    </w:p>
    <w:p w:rsidR="001F2927" w:rsidRDefault="001F2927" w:rsidP="001F2927">
      <w:pPr>
        <w:pStyle w:val="ad"/>
        <w:spacing w:line="360" w:lineRule="auto"/>
        <w:ind w:left="1440"/>
        <w:jc w:val="both"/>
        <w:rPr>
          <w:rFonts w:ascii="David" w:hAnsi="David" w:cs="David"/>
          <w:color w:val="000000"/>
          <w:sz w:val="24"/>
          <w:szCs w:val="24"/>
        </w:rPr>
      </w:pPr>
      <w:r>
        <w:rPr>
          <w:rFonts w:ascii="David" w:hAnsi="David" w:cs="David"/>
          <w:color w:val="000000"/>
          <w:sz w:val="24"/>
          <w:szCs w:val="24"/>
          <w:rtl/>
        </w:rPr>
        <w:t xml:space="preserve">תנאי עיקרי לקיומה של תקופת בלעדיות – הוא </w:t>
      </w:r>
      <w:r>
        <w:rPr>
          <w:rFonts w:ascii="David" w:hAnsi="David" w:cs="David"/>
          <w:color w:val="000000"/>
          <w:sz w:val="24"/>
          <w:szCs w:val="24"/>
          <w:u w:val="single"/>
          <w:rtl/>
        </w:rPr>
        <w:t>ביצוע פעולות שיווק על ידי המתווך</w:t>
      </w:r>
      <w:r>
        <w:rPr>
          <w:rFonts w:ascii="David" w:hAnsi="David" w:cs="David"/>
          <w:color w:val="000000"/>
          <w:sz w:val="24"/>
          <w:szCs w:val="24"/>
          <w:rtl/>
        </w:rPr>
        <w:t xml:space="preserve">. בהינתן העובדה ש"פעולות שיווק" מבוצעות על ידי מוכר נכס בלבד, הרי אין ספק שתקופת הבלעדיות מתייחסת להסכם עם </w:t>
      </w:r>
      <w:r>
        <w:rPr>
          <w:rFonts w:ascii="David" w:hAnsi="David" w:cs="David"/>
          <w:color w:val="000000"/>
          <w:sz w:val="24"/>
          <w:szCs w:val="24"/>
          <w:u w:val="single"/>
          <w:rtl/>
        </w:rPr>
        <w:t>מוכר נכס מקרקעין</w:t>
      </w:r>
      <w:r>
        <w:rPr>
          <w:rFonts w:ascii="David" w:hAnsi="David" w:cs="David"/>
          <w:color w:val="000000"/>
          <w:sz w:val="24"/>
          <w:szCs w:val="24"/>
          <w:rtl/>
        </w:rPr>
        <w:t xml:space="preserve"> ולא עם רוכש נכס מקרקעין.</w:t>
      </w:r>
    </w:p>
    <w:p w:rsidR="001F2927" w:rsidRDefault="001F2927" w:rsidP="001F2927">
      <w:pPr>
        <w:pStyle w:val="ad"/>
        <w:spacing w:line="360" w:lineRule="auto"/>
        <w:ind w:left="1440"/>
        <w:jc w:val="both"/>
        <w:rPr>
          <w:rFonts w:ascii="David" w:hAnsi="David" w:cs="David"/>
          <w:color w:val="000000"/>
          <w:sz w:val="24"/>
          <w:szCs w:val="24"/>
          <w:rtl/>
        </w:rPr>
      </w:pPr>
      <w:r>
        <w:rPr>
          <w:rFonts w:ascii="David" w:hAnsi="David" w:cs="David"/>
          <w:color w:val="000000"/>
          <w:sz w:val="24"/>
          <w:szCs w:val="24"/>
          <w:rtl/>
        </w:rPr>
        <w:lastRenderedPageBreak/>
        <w:t xml:space="preserve">ושוב יודגש, מתווך יזכה לבלעדיות רק אם יבצע "פעולות שיווק". אותן "פעולות שיווק" מבוצעות רק עבור מי שמשווק  את הנכס ומבקש למכור אותו. רוכש אינו מבצע "פעולות שיווק". מכאן – אך ברור הוא שה"בלעדיות" בחוק המתווכים מתייחסת רק להסכם תיווך עם מוכרים.  </w:t>
      </w:r>
    </w:p>
    <w:p w:rsidR="001F2927" w:rsidRDefault="001F2927" w:rsidP="001F2927">
      <w:pPr>
        <w:pStyle w:val="ad"/>
        <w:spacing w:line="360" w:lineRule="auto"/>
        <w:ind w:left="1440"/>
        <w:jc w:val="both"/>
        <w:rPr>
          <w:rFonts w:ascii="David" w:hAnsi="David" w:cs="David"/>
          <w:color w:val="000000"/>
          <w:sz w:val="24"/>
          <w:szCs w:val="24"/>
        </w:rPr>
      </w:pPr>
    </w:p>
    <w:p w:rsidR="001F2927" w:rsidRDefault="001F2927" w:rsidP="001F2927">
      <w:pPr>
        <w:pStyle w:val="ad"/>
        <w:numPr>
          <w:ilvl w:val="0"/>
          <w:numId w:val="7"/>
        </w:numPr>
        <w:spacing w:line="360" w:lineRule="auto"/>
        <w:ind w:left="1440" w:hanging="478"/>
        <w:jc w:val="both"/>
        <w:rPr>
          <w:rFonts w:ascii="David" w:hAnsi="David" w:cs="David"/>
          <w:color w:val="000000"/>
          <w:sz w:val="24"/>
          <w:szCs w:val="24"/>
        </w:rPr>
      </w:pPr>
      <w:r>
        <w:rPr>
          <w:rFonts w:ascii="David" w:hAnsi="David" w:cs="David"/>
          <w:b/>
          <w:bCs/>
          <w:color w:val="000000"/>
          <w:sz w:val="24"/>
          <w:szCs w:val="24"/>
          <w:u w:val="single"/>
          <w:rtl/>
        </w:rPr>
        <w:t>ראיה שניה משתיים לכך שתקופת הבלעדיות בחוק המתווכים מתייחסת רק למוכרים</w:t>
      </w:r>
      <w:r>
        <w:rPr>
          <w:rFonts w:ascii="David" w:hAnsi="David" w:cs="David"/>
          <w:color w:val="000000"/>
          <w:sz w:val="24"/>
          <w:szCs w:val="24"/>
          <w:rtl/>
        </w:rPr>
        <w:t xml:space="preserve"> – גם עיון בהצעת החוק המתייחסת לחוק המתווכים, מלמד שתניית הבלעדיות נועדה להגן על </w:t>
      </w:r>
      <w:r>
        <w:rPr>
          <w:rFonts w:ascii="David" w:hAnsi="David" w:cs="David"/>
          <w:color w:val="000000"/>
          <w:sz w:val="24"/>
          <w:szCs w:val="24"/>
          <w:u w:val="single"/>
          <w:rtl/>
        </w:rPr>
        <w:t>מוכרי נכס</w:t>
      </w:r>
      <w:r>
        <w:rPr>
          <w:rFonts w:ascii="David" w:hAnsi="David" w:cs="David"/>
          <w:color w:val="000000"/>
          <w:sz w:val="24"/>
          <w:szCs w:val="24"/>
          <w:rtl/>
        </w:rPr>
        <w:t xml:space="preserve"> ולא על רוכשים. לענין זה אפנה לתיקון מס' 4 לחוק, בו הוספה תניית הבלעדיות. במסגרת דברי ההסבר (</w:t>
      </w:r>
      <w:r>
        <w:rPr>
          <w:rFonts w:ascii="David" w:hAnsi="David" w:cs="David"/>
          <w:color w:val="000000"/>
          <w:sz w:val="24"/>
          <w:szCs w:val="24"/>
          <w:u w:val="single"/>
          <w:rtl/>
        </w:rPr>
        <w:t>ה"ח הכנסת 39, כ"ג באדר תשס"ד 16/3/2004</w:t>
      </w:r>
      <w:r>
        <w:rPr>
          <w:rFonts w:ascii="David" w:hAnsi="David" w:cs="David"/>
          <w:color w:val="000000"/>
          <w:sz w:val="24"/>
          <w:szCs w:val="24"/>
          <w:rtl/>
        </w:rPr>
        <w:t xml:space="preserve">) קיימת התייחסות לתיקון בסעיפים 9 ו-14 לחוק. בהתייחסות לשאלת הבלעדיות, ואמנם ביחס לסעיף 14 לחוק, הובהר שהתיקון נועד להגן על </w:t>
      </w:r>
      <w:r>
        <w:rPr>
          <w:rFonts w:ascii="David" w:hAnsi="David" w:cs="David"/>
          <w:color w:val="000000"/>
          <w:sz w:val="24"/>
          <w:szCs w:val="24"/>
          <w:u w:val="single"/>
          <w:rtl/>
        </w:rPr>
        <w:t>מוכרי נכס</w:t>
      </w:r>
      <w:r>
        <w:rPr>
          <w:rFonts w:ascii="David" w:hAnsi="David" w:cs="David"/>
          <w:color w:val="000000"/>
          <w:sz w:val="24"/>
          <w:szCs w:val="24"/>
          <w:rtl/>
        </w:rPr>
        <w:t xml:space="preserve">. וכך הפנו דברי ההסבר להגנה הנדרשת תוך ציטוט בו נקבע כי החוק </w:t>
      </w:r>
      <w:r>
        <w:rPr>
          <w:rFonts w:ascii="David" w:hAnsi="David" w:cs="David"/>
          <w:b/>
          <w:bCs/>
          <w:color w:val="000000"/>
          <w:sz w:val="24"/>
          <w:szCs w:val="24"/>
          <w:rtl/>
        </w:rPr>
        <w:t>"שייך בין היתר למערכת של חוקי הגנת הצרכן ונוצר כדי להגביל את כוחם העדיף של מתווכי הדירות על פני מוכרי הדירות"</w:t>
      </w:r>
      <w:r>
        <w:rPr>
          <w:rFonts w:ascii="David" w:hAnsi="David" w:cs="David"/>
          <w:color w:val="000000"/>
          <w:sz w:val="24"/>
          <w:szCs w:val="24"/>
          <w:rtl/>
        </w:rPr>
        <w:t xml:space="preserve"> . </w:t>
      </w:r>
    </w:p>
    <w:p w:rsidR="001F2927" w:rsidRDefault="001F2927" w:rsidP="001F2927">
      <w:pPr>
        <w:pStyle w:val="listparagraph"/>
        <w:spacing w:after="0" w:line="330" w:lineRule="atLeast"/>
        <w:ind w:left="973"/>
        <w:jc w:val="both"/>
        <w:rPr>
          <w:rFonts w:ascii="David" w:hAnsi="David" w:cs="David"/>
          <w:color w:val="000000"/>
          <w:sz w:val="24"/>
          <w:szCs w:val="24"/>
          <w:rtl/>
        </w:rPr>
      </w:pPr>
    </w:p>
    <w:p w:rsidR="001F2927" w:rsidRDefault="001F2927" w:rsidP="001F2927">
      <w:pPr>
        <w:pStyle w:val="ad"/>
        <w:numPr>
          <w:ilvl w:val="1"/>
          <w:numId w:val="1"/>
        </w:numPr>
        <w:spacing w:line="360" w:lineRule="auto"/>
        <w:ind w:left="536" w:hanging="567"/>
        <w:jc w:val="both"/>
        <w:rPr>
          <w:rFonts w:ascii="David" w:hAnsi="David" w:cs="David"/>
          <w:color w:val="000000"/>
          <w:sz w:val="24"/>
          <w:szCs w:val="24"/>
          <w:rtl/>
        </w:rPr>
      </w:pPr>
      <w:r>
        <w:rPr>
          <w:rFonts w:ascii="David" w:hAnsi="David" w:cs="David"/>
          <w:b/>
          <w:bCs/>
          <w:color w:val="000000"/>
          <w:sz w:val="24"/>
          <w:szCs w:val="24"/>
          <w:u w:val="single"/>
          <w:rtl/>
        </w:rPr>
        <w:t>אין לפטור את הנתבעים מתשלום בשל טענותיהם לפיהן לא זכרו שהנכס הוצג על ידי התובע</w:t>
      </w:r>
    </w:p>
    <w:p w:rsidR="001F2927" w:rsidRDefault="001F2927" w:rsidP="001F2927">
      <w:pPr>
        <w:pStyle w:val="ad"/>
        <w:numPr>
          <w:ilvl w:val="0"/>
          <w:numId w:val="13"/>
        </w:numPr>
        <w:spacing w:line="360" w:lineRule="auto"/>
        <w:jc w:val="both"/>
        <w:rPr>
          <w:rFonts w:ascii="David" w:hAnsi="David" w:cs="David"/>
          <w:color w:val="000000"/>
          <w:sz w:val="24"/>
          <w:szCs w:val="24"/>
        </w:rPr>
      </w:pPr>
      <w:r>
        <w:rPr>
          <w:rFonts w:ascii="David" w:hAnsi="David" w:cs="David"/>
          <w:color w:val="000000"/>
          <w:sz w:val="24"/>
          <w:szCs w:val="24"/>
          <w:rtl/>
        </w:rPr>
        <w:t xml:space="preserve">הנתבעים מציגים גרסה לפיה הנכס הוצג להם, פעם נוספת, על ידי מתווכת חדשה. לטענת הנתבעים, בעת הצגתו המחודשת של הנכס, לא זכרו כלל שזה הוצג בעבר.  לענין זה הצהיר הנתבע 1 (סעיף 13 לתצהירו) – </w:t>
      </w:r>
      <w:r>
        <w:rPr>
          <w:rFonts w:ascii="David" w:hAnsi="David" w:cs="David"/>
          <w:b/>
          <w:bCs/>
          <w:color w:val="000000"/>
          <w:sz w:val="24"/>
          <w:szCs w:val="24"/>
          <w:rtl/>
        </w:rPr>
        <w:t>"... קרול ואני כלל לא זכרנו שביקרנו בבניין קודם ושזה הוצג לנו בעבר על ידי התובע"</w:t>
      </w:r>
      <w:r>
        <w:rPr>
          <w:rFonts w:ascii="David" w:hAnsi="David" w:cs="David"/>
          <w:color w:val="000000"/>
          <w:sz w:val="24"/>
          <w:szCs w:val="24"/>
          <w:rtl/>
        </w:rPr>
        <w:t>. הצהרה דומה עד זהה ניתנה על ידי הנתבעת 2 בסעיף 13 לתצהירה.</w:t>
      </w:r>
    </w:p>
    <w:p w:rsidR="001F2927" w:rsidRDefault="001F2927" w:rsidP="001F2927">
      <w:pPr>
        <w:pStyle w:val="ad"/>
        <w:spacing w:line="360" w:lineRule="auto"/>
        <w:ind w:left="896"/>
        <w:jc w:val="both"/>
        <w:rPr>
          <w:rFonts w:ascii="David" w:hAnsi="David" w:cs="David"/>
          <w:color w:val="000000"/>
          <w:sz w:val="24"/>
          <w:szCs w:val="24"/>
        </w:rPr>
      </w:pPr>
    </w:p>
    <w:p w:rsidR="001F2927" w:rsidRDefault="001F2927" w:rsidP="001F2927">
      <w:pPr>
        <w:pStyle w:val="ad"/>
        <w:numPr>
          <w:ilvl w:val="0"/>
          <w:numId w:val="13"/>
        </w:numPr>
        <w:spacing w:line="360" w:lineRule="auto"/>
        <w:jc w:val="both"/>
        <w:rPr>
          <w:rFonts w:ascii="David" w:hAnsi="David" w:cs="David"/>
          <w:color w:val="000000"/>
          <w:sz w:val="24"/>
          <w:szCs w:val="24"/>
        </w:rPr>
      </w:pPr>
      <w:r>
        <w:rPr>
          <w:rFonts w:ascii="David" w:hAnsi="David" w:cs="David"/>
          <w:color w:val="000000"/>
          <w:sz w:val="24"/>
          <w:szCs w:val="24"/>
          <w:rtl/>
        </w:rPr>
        <w:t>אין לקבל טענה לפיה הנתבעים פטורים מתשלום מכיוון שלא זכרו שהיחידה הוצגה להם. אין לקבל את הטענה בשל שניים:</w:t>
      </w:r>
    </w:p>
    <w:p w:rsidR="001F2927" w:rsidRDefault="001F2927" w:rsidP="001F2927">
      <w:pPr>
        <w:pStyle w:val="ad"/>
        <w:rPr>
          <w:rFonts w:ascii="David" w:hAnsi="David" w:cs="David"/>
          <w:color w:val="000000"/>
          <w:sz w:val="24"/>
          <w:szCs w:val="24"/>
        </w:rPr>
      </w:pPr>
    </w:p>
    <w:p w:rsidR="001F2927" w:rsidRDefault="001F2927" w:rsidP="001F2927">
      <w:pPr>
        <w:pStyle w:val="ad"/>
        <w:numPr>
          <w:ilvl w:val="0"/>
          <w:numId w:val="7"/>
        </w:numPr>
        <w:spacing w:line="360" w:lineRule="auto"/>
        <w:ind w:left="1245"/>
        <w:jc w:val="both"/>
        <w:rPr>
          <w:rFonts w:ascii="David" w:hAnsi="David" w:cs="David"/>
          <w:color w:val="000000"/>
          <w:sz w:val="24"/>
          <w:szCs w:val="24"/>
          <w:rtl/>
        </w:rPr>
      </w:pPr>
      <w:r>
        <w:rPr>
          <w:rFonts w:ascii="David" w:hAnsi="David" w:cs="David"/>
          <w:b/>
          <w:bCs/>
          <w:color w:val="000000"/>
          <w:sz w:val="24"/>
          <w:szCs w:val="24"/>
          <w:u w:val="single"/>
          <w:rtl/>
        </w:rPr>
        <w:t>ראשית ועיקר</w:t>
      </w:r>
      <w:r>
        <w:rPr>
          <w:rFonts w:ascii="David" w:hAnsi="David" w:cs="David"/>
          <w:color w:val="000000"/>
          <w:sz w:val="24"/>
          <w:szCs w:val="24"/>
          <w:rtl/>
        </w:rPr>
        <w:t>, גם אם הנתבעים אכן שכחו לפתע שהיחידה הוצגה להם על ידי התובע, הרי עדיין הם מחויבים בתשלום. העובדה שצד למערכת הסכמית שוכח את תנאיה, לא פוטרת אותו צד מחיוביו לצד שכנגד.</w:t>
      </w:r>
    </w:p>
    <w:p w:rsidR="001F2927" w:rsidRDefault="001F2927" w:rsidP="001F2927">
      <w:pPr>
        <w:pStyle w:val="ad"/>
        <w:spacing w:line="360" w:lineRule="auto"/>
        <w:ind w:left="1245"/>
        <w:jc w:val="both"/>
        <w:rPr>
          <w:rFonts w:ascii="David" w:hAnsi="David" w:cs="David"/>
          <w:color w:val="000000"/>
          <w:sz w:val="24"/>
          <w:szCs w:val="24"/>
        </w:rPr>
      </w:pPr>
    </w:p>
    <w:p w:rsidR="001F2927" w:rsidRDefault="001F2927" w:rsidP="001F2927">
      <w:pPr>
        <w:pStyle w:val="ad"/>
        <w:numPr>
          <w:ilvl w:val="0"/>
          <w:numId w:val="7"/>
        </w:numPr>
        <w:spacing w:line="360" w:lineRule="auto"/>
        <w:ind w:left="1245"/>
        <w:jc w:val="both"/>
        <w:rPr>
          <w:rFonts w:ascii="David" w:hAnsi="David" w:cs="David"/>
          <w:color w:val="000000"/>
          <w:sz w:val="24"/>
          <w:szCs w:val="24"/>
        </w:rPr>
      </w:pPr>
      <w:r>
        <w:rPr>
          <w:rFonts w:ascii="David" w:hAnsi="David" w:cs="David"/>
          <w:b/>
          <w:bCs/>
          <w:color w:val="000000"/>
          <w:sz w:val="24"/>
          <w:szCs w:val="24"/>
          <w:u w:val="single"/>
          <w:rtl/>
        </w:rPr>
        <w:t>שנית</w:t>
      </w:r>
      <w:r>
        <w:rPr>
          <w:rFonts w:ascii="David" w:hAnsi="David" w:cs="David"/>
          <w:color w:val="000000"/>
          <w:sz w:val="24"/>
          <w:szCs w:val="24"/>
          <w:rtl/>
        </w:rPr>
        <w:t>, הגרסה לפיה הנתבעים לא זכרו שהיחידה הוצגה להם בעבר על ידי התובע, אינה עולה בקנה אחד עם אמירות שונות של הנתבעים ועל כך יורחב מיד ובסעיף 5.3 להלן.</w:t>
      </w:r>
    </w:p>
    <w:p w:rsidR="001F2927" w:rsidRDefault="001F2927" w:rsidP="001F2927">
      <w:pPr>
        <w:pStyle w:val="ad"/>
        <w:rPr>
          <w:rFonts w:ascii="David" w:hAnsi="David" w:cs="David"/>
          <w:color w:val="000000"/>
          <w:sz w:val="24"/>
          <w:szCs w:val="24"/>
        </w:rPr>
      </w:pPr>
    </w:p>
    <w:p w:rsidR="001F2927" w:rsidRDefault="001F2927" w:rsidP="001F2927">
      <w:pPr>
        <w:pStyle w:val="ad"/>
        <w:numPr>
          <w:ilvl w:val="1"/>
          <w:numId w:val="1"/>
        </w:numPr>
        <w:spacing w:line="360" w:lineRule="auto"/>
        <w:ind w:left="536" w:hanging="567"/>
        <w:jc w:val="both"/>
        <w:rPr>
          <w:rFonts w:ascii="David" w:hAnsi="David" w:cs="David"/>
          <w:b/>
          <w:bCs/>
          <w:color w:val="000000"/>
          <w:sz w:val="24"/>
          <w:szCs w:val="24"/>
          <w:u w:val="single"/>
          <w:rtl/>
        </w:rPr>
      </w:pPr>
      <w:r>
        <w:rPr>
          <w:rFonts w:ascii="David" w:hAnsi="David" w:cs="David"/>
          <w:b/>
          <w:bCs/>
          <w:color w:val="000000"/>
          <w:sz w:val="24"/>
          <w:szCs w:val="24"/>
          <w:u w:val="single"/>
          <w:rtl/>
        </w:rPr>
        <w:t>למעלה מהנדרש, התייחסות לגרסת הנתבעים לפיה לא זכרו שהנכס הוצג להם על ידי התובע</w:t>
      </w:r>
    </w:p>
    <w:p w:rsidR="001F2927" w:rsidRDefault="001F2927" w:rsidP="001F2927">
      <w:pPr>
        <w:pStyle w:val="ad"/>
        <w:numPr>
          <w:ilvl w:val="0"/>
          <w:numId w:val="14"/>
        </w:numPr>
        <w:spacing w:line="360" w:lineRule="auto"/>
        <w:jc w:val="both"/>
        <w:rPr>
          <w:rFonts w:ascii="David" w:hAnsi="David" w:cs="David"/>
          <w:color w:val="000000"/>
          <w:sz w:val="24"/>
          <w:szCs w:val="24"/>
          <w:u w:val="single"/>
        </w:rPr>
      </w:pPr>
      <w:r>
        <w:rPr>
          <w:rFonts w:ascii="David" w:hAnsi="David" w:cs="David"/>
          <w:color w:val="000000"/>
          <w:sz w:val="24"/>
          <w:szCs w:val="24"/>
          <w:rtl/>
        </w:rPr>
        <w:t xml:space="preserve">בניגוד לטענה בתצהיר (סעיף 13) לפיה הנתבעים לא זכרו שהיחידה הוצגה להם בעבר – הרי מאותם תצהירים עולה שהנתבעים דווקא זכרו היטב את הביקור בנכס. וכך הנתבע 1 דווקא מסר גרסה עובדתית ביחס להצגת היחידה על ידי התובע. לדבריו (סעיפים 6-7 לתצהיר הנתבע 1 כאשר גרסה דומה עד זהה ניתנה בסעיפים 6-7 לתצהיר הנתבעת 2, ההדגשות לא במקור) – </w:t>
      </w:r>
    </w:p>
    <w:p w:rsidR="001F2927" w:rsidRDefault="001F2927" w:rsidP="001F2927">
      <w:pPr>
        <w:pStyle w:val="ad"/>
        <w:rPr>
          <w:rFonts w:ascii="David" w:hAnsi="David" w:cs="David"/>
          <w:color w:val="000000"/>
          <w:sz w:val="24"/>
          <w:szCs w:val="24"/>
        </w:rPr>
      </w:pPr>
    </w:p>
    <w:p w:rsidR="001F2927" w:rsidRDefault="001F2927" w:rsidP="001F2927">
      <w:pPr>
        <w:pStyle w:val="ad"/>
        <w:spacing w:line="360" w:lineRule="auto"/>
        <w:ind w:left="2880"/>
        <w:jc w:val="both"/>
        <w:rPr>
          <w:rFonts w:ascii="David" w:hAnsi="David" w:cs="David"/>
          <w:b/>
          <w:bCs/>
          <w:color w:val="000000"/>
          <w:sz w:val="24"/>
          <w:szCs w:val="24"/>
          <w:rtl/>
        </w:rPr>
      </w:pPr>
      <w:r>
        <w:rPr>
          <w:rFonts w:ascii="David" w:hAnsi="David" w:cs="David"/>
          <w:b/>
          <w:bCs/>
          <w:color w:val="000000"/>
          <w:sz w:val="24"/>
          <w:szCs w:val="24"/>
          <w:rtl/>
        </w:rPr>
        <w:t xml:space="preserve">"... </w:t>
      </w:r>
      <w:r>
        <w:rPr>
          <w:rFonts w:ascii="David" w:hAnsi="David" w:cs="David"/>
          <w:b/>
          <w:bCs/>
          <w:color w:val="000000"/>
          <w:sz w:val="24"/>
          <w:szCs w:val="24"/>
          <w:u w:val="single"/>
          <w:rtl/>
        </w:rPr>
        <w:t>אני הצטרפתי לסיור</w:t>
      </w:r>
      <w:r>
        <w:rPr>
          <w:rFonts w:ascii="David" w:hAnsi="David" w:cs="David"/>
          <w:b/>
          <w:bCs/>
          <w:color w:val="000000"/>
          <w:sz w:val="24"/>
          <w:szCs w:val="24"/>
          <w:rtl/>
        </w:rPr>
        <w:t xml:space="preserve"> וכמעט מיד לאחר מכן עזבתי את הבניין בגלל שאני לא רציתי להיכנס לקומה גבוהה (למיטב זכרוני </w:t>
      </w:r>
      <w:r>
        <w:rPr>
          <w:rFonts w:ascii="David" w:hAnsi="David" w:cs="David"/>
          <w:b/>
          <w:bCs/>
          <w:color w:val="000000"/>
          <w:sz w:val="24"/>
          <w:szCs w:val="24"/>
          <w:u w:val="single"/>
          <w:rtl/>
        </w:rPr>
        <w:t>זו הפעם היחידה בה ראיתי את התובע</w:t>
      </w:r>
      <w:r>
        <w:rPr>
          <w:rFonts w:ascii="David" w:hAnsi="David" w:cs="David"/>
          <w:b/>
          <w:bCs/>
          <w:color w:val="000000"/>
          <w:sz w:val="24"/>
          <w:szCs w:val="24"/>
          <w:rtl/>
        </w:rPr>
        <w:t>)"</w:t>
      </w:r>
    </w:p>
    <w:p w:rsidR="001F2927" w:rsidRDefault="001F2927" w:rsidP="001F2927">
      <w:pPr>
        <w:pStyle w:val="listparagraph"/>
        <w:spacing w:after="0" w:line="330" w:lineRule="atLeast"/>
        <w:ind w:left="973"/>
        <w:jc w:val="both"/>
        <w:rPr>
          <w:rFonts w:ascii="David" w:hAnsi="David" w:cs="David"/>
          <w:color w:val="000000"/>
          <w:sz w:val="24"/>
          <w:szCs w:val="24"/>
          <w:rtl/>
        </w:rPr>
      </w:pPr>
      <w:r>
        <w:rPr>
          <w:rFonts w:ascii="David" w:hAnsi="David" w:cs="David"/>
          <w:color w:val="000000"/>
          <w:sz w:val="24"/>
          <w:szCs w:val="24"/>
          <w:rtl/>
        </w:rPr>
        <w:t xml:space="preserve">ומיד בהמשך מתאר הנתבע 1 כיצד נמסר לתובע שהדירה אינה מתאימה </w:t>
      </w:r>
      <w:r>
        <w:rPr>
          <w:rFonts w:ascii="David" w:hAnsi="David" w:cs="David"/>
          <w:b/>
          <w:bCs/>
          <w:color w:val="000000"/>
          <w:sz w:val="24"/>
          <w:szCs w:val="24"/>
          <w:rtl/>
        </w:rPr>
        <w:t>"בשל פחד גבהים"</w:t>
      </w:r>
      <w:r>
        <w:rPr>
          <w:rFonts w:ascii="David" w:hAnsi="David" w:cs="David"/>
          <w:color w:val="000000"/>
          <w:sz w:val="24"/>
          <w:szCs w:val="24"/>
          <w:rtl/>
        </w:rPr>
        <w:t xml:space="preserve"> וכלשונו – </w:t>
      </w:r>
    </w:p>
    <w:p w:rsidR="001F2927" w:rsidRDefault="001F2927" w:rsidP="001F2927">
      <w:pPr>
        <w:pStyle w:val="listparagraph"/>
        <w:spacing w:after="0" w:line="330" w:lineRule="atLeast"/>
        <w:ind w:left="2880" w:hanging="1907"/>
        <w:jc w:val="both"/>
        <w:rPr>
          <w:rFonts w:ascii="David" w:hAnsi="David" w:cs="David"/>
          <w:b/>
          <w:bCs/>
          <w:color w:val="000000"/>
          <w:sz w:val="24"/>
          <w:szCs w:val="24"/>
          <w:rtl/>
        </w:rPr>
      </w:pPr>
      <w:r>
        <w:rPr>
          <w:rFonts w:ascii="David" w:hAnsi="David" w:cs="David"/>
          <w:color w:val="000000"/>
          <w:sz w:val="24"/>
          <w:szCs w:val="24"/>
          <w:rtl/>
        </w:rPr>
        <w:tab/>
      </w:r>
      <w:r>
        <w:rPr>
          <w:rFonts w:ascii="David" w:hAnsi="David" w:cs="David"/>
          <w:b/>
          <w:bCs/>
          <w:color w:val="000000"/>
          <w:sz w:val="24"/>
          <w:szCs w:val="24"/>
          <w:rtl/>
        </w:rPr>
        <w:t xml:space="preserve">"במעמד הביקור וגם מספר ימים לאחר מכן, נמסר לתובע כי היחידה אינה מתאימה. זאת בין היתר, שעה שאני מעדיף דירות שאינן במגדל גבוה בשל </w:t>
      </w:r>
      <w:r>
        <w:rPr>
          <w:rFonts w:ascii="David" w:hAnsi="David" w:cs="David"/>
          <w:b/>
          <w:bCs/>
          <w:color w:val="000000"/>
          <w:sz w:val="24"/>
          <w:szCs w:val="24"/>
          <w:u w:val="single"/>
          <w:rtl/>
        </w:rPr>
        <w:t>פחד גבהים</w:t>
      </w:r>
      <w:r>
        <w:rPr>
          <w:rFonts w:ascii="David" w:hAnsi="David" w:cs="David"/>
          <w:b/>
          <w:bCs/>
          <w:color w:val="000000"/>
          <w:sz w:val="24"/>
          <w:szCs w:val="24"/>
          <w:rtl/>
        </w:rPr>
        <w:t>"</w:t>
      </w:r>
    </w:p>
    <w:p w:rsidR="001F2927" w:rsidRDefault="001F2927" w:rsidP="001F2927">
      <w:pPr>
        <w:pStyle w:val="listparagraph"/>
        <w:spacing w:after="0" w:line="330" w:lineRule="atLeast"/>
        <w:ind w:left="973"/>
        <w:jc w:val="both"/>
        <w:rPr>
          <w:rFonts w:ascii="David" w:hAnsi="David" w:cs="David"/>
          <w:color w:val="000000"/>
          <w:sz w:val="24"/>
          <w:szCs w:val="24"/>
          <w:rtl/>
        </w:rPr>
      </w:pPr>
    </w:p>
    <w:p w:rsidR="001F2927" w:rsidRDefault="001F2927" w:rsidP="001F2927">
      <w:pPr>
        <w:pStyle w:val="listparagraph"/>
        <w:spacing w:after="0" w:line="330" w:lineRule="atLeast"/>
        <w:ind w:left="973"/>
        <w:jc w:val="both"/>
        <w:rPr>
          <w:rFonts w:ascii="David" w:hAnsi="David" w:cs="David"/>
          <w:color w:val="000000"/>
          <w:sz w:val="24"/>
          <w:szCs w:val="24"/>
          <w:rtl/>
        </w:rPr>
      </w:pPr>
      <w:r>
        <w:rPr>
          <w:rFonts w:ascii="David" w:hAnsi="David" w:cs="David"/>
          <w:color w:val="000000"/>
          <w:sz w:val="24"/>
          <w:szCs w:val="24"/>
          <w:rtl/>
        </w:rPr>
        <w:t xml:space="preserve">וכך לפנינו שתי גרסאות של הנתבעים, וקיומן של שתיהן יחדיו מעט מטרידה. </w:t>
      </w:r>
      <w:r>
        <w:rPr>
          <w:rFonts w:ascii="David" w:hAnsi="David" w:cs="David"/>
          <w:color w:val="000000"/>
          <w:sz w:val="24"/>
          <w:szCs w:val="24"/>
          <w:u w:val="single"/>
          <w:rtl/>
        </w:rPr>
        <w:t>בהתאם לגרסה אחת בתצהירם</w:t>
      </w:r>
      <w:r>
        <w:rPr>
          <w:rFonts w:ascii="David" w:hAnsi="David" w:cs="David"/>
          <w:color w:val="000000"/>
          <w:sz w:val="24"/>
          <w:szCs w:val="24"/>
          <w:rtl/>
        </w:rPr>
        <w:t xml:space="preserve"> (סעיף 13) הנתבעים 1-2 כלל לא זכרו שהיחידה הוצגה להם. </w:t>
      </w:r>
      <w:r>
        <w:rPr>
          <w:rFonts w:ascii="David" w:hAnsi="David" w:cs="David"/>
          <w:color w:val="000000"/>
          <w:sz w:val="24"/>
          <w:szCs w:val="24"/>
          <w:u w:val="single"/>
          <w:rtl/>
        </w:rPr>
        <w:t>אך מנגד ובהתאם לגרסה שניה בתצהירם</w:t>
      </w:r>
      <w:r>
        <w:rPr>
          <w:rFonts w:ascii="David" w:hAnsi="David" w:cs="David"/>
          <w:color w:val="000000"/>
          <w:sz w:val="24"/>
          <w:szCs w:val="24"/>
          <w:rtl/>
        </w:rPr>
        <w:t xml:space="preserve"> (סעיפים 6-7 לתצהיר), הנתבעים  זכרו היטב שהיחידה הוצגה להם ושהודיעו שאינה מתאימה בשל פחד הגבהים של התובע.</w:t>
      </w:r>
    </w:p>
    <w:p w:rsidR="001F2927" w:rsidRDefault="001F2927" w:rsidP="001F2927">
      <w:pPr>
        <w:pStyle w:val="listparagraph"/>
        <w:spacing w:after="0" w:line="330" w:lineRule="atLeast"/>
        <w:ind w:left="973"/>
        <w:jc w:val="both"/>
        <w:rPr>
          <w:rFonts w:ascii="David" w:hAnsi="David" w:cs="David"/>
          <w:color w:val="000000"/>
          <w:sz w:val="24"/>
          <w:szCs w:val="24"/>
          <w:rtl/>
        </w:rPr>
      </w:pPr>
    </w:p>
    <w:p w:rsidR="001F2927" w:rsidRDefault="001F2927" w:rsidP="001F2927">
      <w:pPr>
        <w:pStyle w:val="ad"/>
        <w:numPr>
          <w:ilvl w:val="0"/>
          <w:numId w:val="14"/>
        </w:numPr>
        <w:spacing w:line="360" w:lineRule="auto"/>
        <w:jc w:val="both"/>
        <w:rPr>
          <w:rFonts w:ascii="David" w:hAnsi="David" w:cs="David"/>
          <w:color w:val="000000"/>
          <w:sz w:val="24"/>
          <w:szCs w:val="24"/>
          <w:rtl/>
        </w:rPr>
      </w:pPr>
      <w:r>
        <w:rPr>
          <w:rFonts w:ascii="David" w:hAnsi="David" w:cs="David"/>
          <w:color w:val="000000"/>
          <w:sz w:val="24"/>
          <w:szCs w:val="24"/>
          <w:rtl/>
        </w:rPr>
        <w:t xml:space="preserve">הנתבעים ניסו לטעון שהגרסה בדבר </w:t>
      </w:r>
      <w:r>
        <w:rPr>
          <w:rFonts w:ascii="David" w:hAnsi="David" w:cs="David"/>
          <w:b/>
          <w:bCs/>
          <w:color w:val="000000"/>
          <w:sz w:val="24"/>
          <w:szCs w:val="24"/>
          <w:rtl/>
        </w:rPr>
        <w:t>"פחד גבהים"</w:t>
      </w:r>
      <w:r>
        <w:rPr>
          <w:rFonts w:ascii="David" w:hAnsi="David" w:cs="David"/>
          <w:color w:val="000000"/>
          <w:sz w:val="24"/>
          <w:szCs w:val="24"/>
          <w:rtl/>
        </w:rPr>
        <w:t xml:space="preserve"> היא בעקבות </w:t>
      </w:r>
      <w:r>
        <w:rPr>
          <w:rFonts w:ascii="David" w:hAnsi="David" w:cs="David"/>
          <w:b/>
          <w:bCs/>
          <w:color w:val="000000"/>
          <w:sz w:val="24"/>
          <w:szCs w:val="24"/>
          <w:rtl/>
        </w:rPr>
        <w:t>"שחזור בדיעבד הנסמך, בין היתר, על מסמך התיווך והודעות הוואטצאפ"</w:t>
      </w:r>
      <w:r>
        <w:rPr>
          <w:rFonts w:ascii="David" w:hAnsi="David" w:cs="David"/>
          <w:color w:val="000000"/>
          <w:sz w:val="24"/>
          <w:szCs w:val="24"/>
          <w:rtl/>
        </w:rPr>
        <w:t xml:space="preserve"> (סעיף 6 לתצהירי הנתבעים). רוצה לומר שרק אותו שחזור הזכיר להם בדיעבד את הביקור ביחידה והצגתה על ידי התובע.</w:t>
      </w:r>
    </w:p>
    <w:p w:rsidR="001F2927" w:rsidRDefault="001F2927" w:rsidP="001F2927">
      <w:pPr>
        <w:pStyle w:val="ad"/>
        <w:spacing w:line="360" w:lineRule="auto"/>
        <w:ind w:left="896"/>
        <w:jc w:val="both"/>
        <w:rPr>
          <w:rFonts w:ascii="David" w:hAnsi="David" w:cs="David"/>
          <w:color w:val="000000"/>
          <w:sz w:val="24"/>
          <w:szCs w:val="24"/>
        </w:rPr>
      </w:pPr>
      <w:r>
        <w:rPr>
          <w:rFonts w:ascii="David" w:hAnsi="David" w:cs="David"/>
          <w:color w:val="000000"/>
          <w:sz w:val="24"/>
          <w:szCs w:val="24"/>
          <w:rtl/>
        </w:rPr>
        <w:t>גם לטענה זו "אין רגליים". לענין זה המציא התובע את התכתבות המסרונים בין הצדדים ואין בה שום אמירה או רמז לכך שהיחידה נדחתה בשל "פחד גבהים". ההיפך הוא הנכון. כאשר פנה התובע אל הנתבעת , לאחר הצגת היחידה, זו השיבה לו ביום 20/3/2019 כך:</w:t>
      </w:r>
    </w:p>
    <w:p w:rsidR="001F2927" w:rsidRDefault="001F2927" w:rsidP="001F2927">
      <w:pPr>
        <w:pStyle w:val="ad"/>
        <w:spacing w:line="360" w:lineRule="auto"/>
        <w:ind w:left="1812"/>
        <w:jc w:val="right"/>
        <w:rPr>
          <w:rFonts w:ascii="David" w:hAnsi="David" w:cs="David"/>
          <w:color w:val="000000"/>
          <w:sz w:val="24"/>
          <w:szCs w:val="24"/>
          <w:rtl/>
        </w:rPr>
      </w:pPr>
      <w:r>
        <w:rPr>
          <w:rFonts w:ascii="David" w:hAnsi="David" w:cs="David"/>
          <w:b/>
          <w:bCs/>
          <w:sz w:val="24"/>
          <w:szCs w:val="24"/>
        </w:rPr>
        <w:t xml:space="preserve">"Yes Thank you but it doesn't work for us. </w:t>
      </w:r>
      <w:r>
        <w:rPr>
          <w:rFonts w:ascii="David" w:hAnsi="David" w:cs="David"/>
          <w:b/>
          <w:bCs/>
          <w:sz w:val="24"/>
          <w:szCs w:val="24"/>
          <w:u w:val="single"/>
        </w:rPr>
        <w:t>There is too much wasted space in the layout</w:t>
      </w:r>
      <w:r>
        <w:rPr>
          <w:rFonts w:ascii="David" w:hAnsi="David" w:cs="David"/>
          <w:b/>
          <w:bCs/>
          <w:sz w:val="24"/>
          <w:szCs w:val="24"/>
        </w:rPr>
        <w:t>. Sorry"</w:t>
      </w: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 xml:space="preserve"> </w:t>
      </w: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כלומר, המסרון שהועבר לתובע לא אמר מילה וחצי מילה ביחס לגובהו של הנכס ועל כך שהוא נפסל בשל כך. כיצד זה מתוך ההתכתבות הזו "שחזרו" הנתבעים בדיעבד ונזכרו דווקא ב"פחד גבהים"? קיים קושי בגרסה זו.</w:t>
      </w:r>
    </w:p>
    <w:p w:rsidR="001F2927" w:rsidRDefault="001F2927" w:rsidP="001F2927">
      <w:pPr>
        <w:pStyle w:val="listparagraph"/>
        <w:spacing w:after="0" w:line="330" w:lineRule="atLeast"/>
        <w:ind w:left="973"/>
        <w:jc w:val="both"/>
        <w:rPr>
          <w:rFonts w:ascii="David" w:hAnsi="David" w:cs="David"/>
          <w:color w:val="000000"/>
          <w:sz w:val="24"/>
          <w:szCs w:val="24"/>
          <w:rtl/>
        </w:rPr>
      </w:pPr>
      <w:r>
        <w:rPr>
          <w:rFonts w:ascii="David" w:hAnsi="David" w:cs="David"/>
          <w:color w:val="000000"/>
          <w:sz w:val="24"/>
          <w:szCs w:val="24"/>
          <w:rtl/>
        </w:rPr>
        <w:t xml:space="preserve">  </w:t>
      </w:r>
    </w:p>
    <w:p w:rsidR="001F2927" w:rsidRDefault="001F2927" w:rsidP="001F2927">
      <w:pPr>
        <w:pStyle w:val="ad"/>
        <w:numPr>
          <w:ilvl w:val="0"/>
          <w:numId w:val="13"/>
        </w:numPr>
        <w:spacing w:line="360" w:lineRule="auto"/>
        <w:jc w:val="both"/>
        <w:rPr>
          <w:rFonts w:ascii="David" w:hAnsi="David" w:cs="David"/>
          <w:color w:val="000000"/>
          <w:sz w:val="24"/>
          <w:szCs w:val="24"/>
          <w:rtl/>
        </w:rPr>
      </w:pPr>
      <w:r>
        <w:rPr>
          <w:rFonts w:ascii="David" w:hAnsi="David" w:cs="David"/>
          <w:color w:val="000000"/>
          <w:sz w:val="24"/>
          <w:szCs w:val="24"/>
          <w:rtl/>
        </w:rPr>
        <w:t>בעוד הנתבעים טוענים שכלל לא זכרו את היחידה, אלא "שחזרו" את זיכרונם מתוך מסרונים שונים, הרי במהלך החקירה הנגדים זכר הנתבע 1 את ביקורו הקצר במקום וכלשונו (ע"מ 19ף שורות 7-9 לפרוטוקול, ההדגשות לא במקור):</w:t>
      </w:r>
    </w:p>
    <w:p w:rsidR="001F2927" w:rsidRDefault="001F2927" w:rsidP="001F2927">
      <w:pPr>
        <w:pStyle w:val="listparagraph"/>
        <w:spacing w:after="0" w:line="330" w:lineRule="atLeast"/>
        <w:ind w:left="3600" w:hanging="1930"/>
        <w:jc w:val="both"/>
        <w:rPr>
          <w:rFonts w:ascii="David" w:hAnsi="David" w:cs="David"/>
          <w:b/>
          <w:bCs/>
          <w:color w:val="000000"/>
          <w:sz w:val="24"/>
          <w:szCs w:val="24"/>
          <w:rtl/>
        </w:rPr>
      </w:pPr>
      <w:r>
        <w:rPr>
          <w:rFonts w:ascii="David" w:hAnsi="David" w:cs="David"/>
          <w:b/>
          <w:bCs/>
          <w:sz w:val="24"/>
          <w:szCs w:val="24"/>
          <w:rtl/>
        </w:rPr>
        <w:t xml:space="preserve">"העד, מר לאו: </w:t>
      </w:r>
      <w:r>
        <w:rPr>
          <w:rFonts w:ascii="David" w:hAnsi="David" w:cs="David"/>
          <w:b/>
          <w:bCs/>
          <w:sz w:val="24"/>
          <w:szCs w:val="24"/>
          <w:rtl/>
        </w:rPr>
        <w:tab/>
        <w:t xml:space="preserve">כן בגלל הפחד הגבהים, הם אמרו לי לאיזה קומה להגיע, פתחתי את הדלת, ראיתי כמה גבוה זה, הסתובבתי ופניתי לאחור. לכן </w:t>
      </w:r>
      <w:r>
        <w:rPr>
          <w:rFonts w:ascii="David" w:hAnsi="David" w:cs="David"/>
          <w:b/>
          <w:bCs/>
          <w:sz w:val="24"/>
          <w:szCs w:val="24"/>
          <w:u w:val="single"/>
          <w:rtl/>
        </w:rPr>
        <w:t>אני גם לא זוכר שפגשתי את הבחור ופשוט עזבתי. וגם לא ראיתי את הדירה</w:t>
      </w:r>
      <w:r>
        <w:rPr>
          <w:rFonts w:ascii="David" w:hAnsi="David" w:cs="David"/>
          <w:b/>
          <w:bCs/>
          <w:sz w:val="24"/>
          <w:szCs w:val="24"/>
          <w:rtl/>
        </w:rPr>
        <w:t>, לא נכנסתי אליה"</w:t>
      </w:r>
    </w:p>
    <w:p w:rsidR="001F2927" w:rsidRDefault="001F2927" w:rsidP="001F2927">
      <w:pPr>
        <w:pStyle w:val="listparagraph"/>
        <w:spacing w:after="0" w:line="330" w:lineRule="atLeast"/>
        <w:ind w:left="973"/>
        <w:jc w:val="both"/>
        <w:rPr>
          <w:rFonts w:ascii="David" w:hAnsi="David" w:cs="David"/>
          <w:color w:val="000000"/>
          <w:sz w:val="24"/>
          <w:szCs w:val="24"/>
          <w:rtl/>
        </w:rPr>
      </w:pP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lastRenderedPageBreak/>
        <w:t xml:space="preserve">ומאמירה זו למדים שהנתבע 1 זכר היטב את פחד הגבהים שאחז בו כאשר 'פתח את הדלת'. פחד לרכוש יחידה בקומה 28 בבנין – כאשר </w:t>
      </w:r>
      <w:r>
        <w:rPr>
          <w:rFonts w:ascii="David" w:hAnsi="David" w:cs="David"/>
          <w:color w:val="000000"/>
          <w:sz w:val="24"/>
          <w:szCs w:val="24"/>
          <w:u w:val="single"/>
          <w:rtl/>
        </w:rPr>
        <w:t>בסופו של יום רכש את כל קומה 28 באותו בנין</w:t>
      </w:r>
      <w:r>
        <w:rPr>
          <w:rFonts w:ascii="David" w:hAnsi="David" w:cs="David"/>
          <w:color w:val="000000"/>
          <w:sz w:val="24"/>
          <w:szCs w:val="24"/>
          <w:rtl/>
        </w:rPr>
        <w:t xml:space="preserve">. </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ועוד למדים  מעדותו של הנתבע 1, שהאירוע בקומה 28 אכן נחרט בזכרונו. ומכאן עולה התהייה כיצד האירוע נחרט עד כדי שהוזכר בחקירה הנגדית בשנת 2023, אך מנגד שכחו הנתבעים את האירוע ואת היחידה בשנת 2020 כאשר היחידה הוצגה כנטען על ידי מתווכת חדשה?</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 xml:space="preserve">ועוד למדים מעדותו החדשה של הנתבע 1 שבניגוד לתצהירו בו הצהיר – </w:t>
      </w:r>
      <w:r>
        <w:rPr>
          <w:rFonts w:ascii="David" w:hAnsi="David" w:cs="David"/>
          <w:b/>
          <w:bCs/>
          <w:color w:val="000000"/>
          <w:sz w:val="24"/>
          <w:szCs w:val="24"/>
          <w:rtl/>
        </w:rPr>
        <w:t>"זו הפעם היחידה בה ראיתי את התובע</w:t>
      </w:r>
      <w:r>
        <w:rPr>
          <w:rFonts w:ascii="David" w:hAnsi="David" w:cs="David"/>
          <w:color w:val="000000"/>
          <w:sz w:val="24"/>
          <w:szCs w:val="24"/>
          <w:rtl/>
        </w:rPr>
        <w:t>", הרי בעדותו העיד ההיפך וטען – "</w:t>
      </w:r>
      <w:r>
        <w:rPr>
          <w:rFonts w:ascii="David" w:hAnsi="David" w:cs="David"/>
          <w:b/>
          <w:bCs/>
          <w:sz w:val="24"/>
          <w:szCs w:val="24"/>
          <w:rtl/>
        </w:rPr>
        <w:t>אני גם לא זוכר שפגשתי את הבחור"</w:t>
      </w:r>
      <w:r>
        <w:rPr>
          <w:rFonts w:ascii="David" w:hAnsi="David" w:cs="David"/>
          <w:color w:val="000000"/>
          <w:sz w:val="24"/>
          <w:szCs w:val="24"/>
          <w:rtl/>
        </w:rPr>
        <w:t xml:space="preserve">. </w:t>
      </w:r>
    </w:p>
    <w:p w:rsidR="001F2927" w:rsidRDefault="001F2927" w:rsidP="001F2927">
      <w:pPr>
        <w:pStyle w:val="ad"/>
        <w:spacing w:line="360" w:lineRule="auto"/>
        <w:ind w:left="-172"/>
        <w:jc w:val="both"/>
        <w:rPr>
          <w:rFonts w:ascii="David" w:hAnsi="David" w:cs="David"/>
          <w:color w:val="000000"/>
          <w:sz w:val="24"/>
          <w:szCs w:val="24"/>
          <w:rtl/>
        </w:rPr>
      </w:pPr>
    </w:p>
    <w:p w:rsidR="001F2927" w:rsidRDefault="001F2927" w:rsidP="001F2927">
      <w:pPr>
        <w:pStyle w:val="ad"/>
        <w:numPr>
          <w:ilvl w:val="1"/>
          <w:numId w:val="1"/>
        </w:numPr>
        <w:spacing w:line="360" w:lineRule="auto"/>
        <w:ind w:left="536" w:hanging="567"/>
        <w:jc w:val="both"/>
        <w:rPr>
          <w:rFonts w:ascii="David" w:hAnsi="David" w:cs="David"/>
          <w:color w:val="000000"/>
          <w:sz w:val="24"/>
          <w:szCs w:val="24"/>
        </w:rPr>
      </w:pPr>
      <w:r>
        <w:rPr>
          <w:rFonts w:ascii="David" w:hAnsi="David" w:cs="David"/>
          <w:b/>
          <w:bCs/>
          <w:color w:val="000000"/>
          <w:sz w:val="24"/>
          <w:szCs w:val="24"/>
          <w:u w:val="single"/>
          <w:rtl/>
        </w:rPr>
        <w:t>התייחסות לתקופת הזמן שחלפה מהסכם התיווך והצגת הנכס ועד רכישת היחידה</w:t>
      </w:r>
    </w:p>
    <w:p w:rsidR="001F2927" w:rsidRDefault="001F2927" w:rsidP="001F2927">
      <w:pPr>
        <w:pStyle w:val="ad"/>
        <w:numPr>
          <w:ilvl w:val="0"/>
          <w:numId w:val="15"/>
        </w:numPr>
        <w:spacing w:line="360" w:lineRule="auto"/>
        <w:jc w:val="both"/>
        <w:rPr>
          <w:rFonts w:ascii="David" w:hAnsi="David" w:cs="David"/>
          <w:color w:val="000000"/>
          <w:sz w:val="24"/>
          <w:szCs w:val="24"/>
        </w:rPr>
      </w:pPr>
      <w:r>
        <w:rPr>
          <w:rFonts w:ascii="David" w:hAnsi="David" w:cs="David"/>
          <w:color w:val="000000"/>
          <w:sz w:val="24"/>
          <w:szCs w:val="24"/>
          <w:rtl/>
        </w:rPr>
        <w:t>הנתבעים הפנו לתקופת הזמן שחלפה מהצגת היחידה, בחודש מרץ 2019 ועד לרכישת היחידה – בחודש דצמבר 2020. בנסיבות הענין, אין בזמן שחלף כדי לאיין את זכותו של התובע לדמי תיווך. לענין זה הוכח שהתובע המשיך להיות בקשר עם הנתבעת 2, הוצגה תרשומת מסרונים. עוד הוכח, על ידי הנתבעים עצמם, שבמשך תקופה ארוכה כלל לא חיפשו נכס למכירה וגרו בשכירות או שהו מחוץ לישראל.</w:t>
      </w:r>
    </w:p>
    <w:p w:rsidR="001F2927" w:rsidRDefault="001F2927" w:rsidP="001F2927">
      <w:pPr>
        <w:pStyle w:val="ad"/>
        <w:spacing w:line="360" w:lineRule="auto"/>
        <w:ind w:left="896"/>
        <w:jc w:val="both"/>
        <w:rPr>
          <w:rFonts w:ascii="David" w:hAnsi="David" w:cs="David"/>
          <w:color w:val="000000"/>
          <w:sz w:val="24"/>
          <w:szCs w:val="24"/>
        </w:rPr>
      </w:pPr>
    </w:p>
    <w:p w:rsidR="001F2927" w:rsidRDefault="001F2927" w:rsidP="001F2927">
      <w:pPr>
        <w:pStyle w:val="ad"/>
        <w:numPr>
          <w:ilvl w:val="0"/>
          <w:numId w:val="15"/>
        </w:numPr>
        <w:spacing w:line="360" w:lineRule="auto"/>
        <w:jc w:val="both"/>
        <w:rPr>
          <w:rFonts w:ascii="David" w:hAnsi="David" w:cs="David"/>
          <w:color w:val="000000"/>
          <w:sz w:val="24"/>
          <w:szCs w:val="24"/>
        </w:rPr>
      </w:pPr>
      <w:r>
        <w:rPr>
          <w:rFonts w:ascii="David" w:hAnsi="David" w:cs="David"/>
          <w:color w:val="000000"/>
          <w:sz w:val="24"/>
          <w:szCs w:val="24"/>
          <w:rtl/>
        </w:rPr>
        <w:t xml:space="preserve">בפועל, היחידה הוצגה לנתבעים על ידי התובע ביום 17/3/2019, ולאחר מכן הוצגו נכסים נוספים. לדברי התובע הנכס האחרון הוצג ביום </w:t>
      </w:r>
      <w:r>
        <w:rPr>
          <w:rFonts w:ascii="David" w:hAnsi="David" w:cs="David"/>
          <w:color w:val="000000"/>
          <w:sz w:val="24"/>
          <w:szCs w:val="24"/>
          <w:u w:val="single"/>
          <w:rtl/>
        </w:rPr>
        <w:t>27/5/2020</w:t>
      </w:r>
      <w:r>
        <w:rPr>
          <w:rFonts w:ascii="David" w:hAnsi="David" w:cs="David"/>
          <w:color w:val="000000"/>
          <w:sz w:val="24"/>
          <w:szCs w:val="24"/>
          <w:rtl/>
        </w:rPr>
        <w:t>, כשנה וחודשיים מאור יותר (סעיף 19 לתצהיר התובע).</w:t>
      </w:r>
    </w:p>
    <w:p w:rsidR="001F2927" w:rsidRDefault="001F2927" w:rsidP="001F2927">
      <w:pPr>
        <w:pStyle w:val="ad"/>
        <w:spacing w:line="360" w:lineRule="auto"/>
        <w:ind w:left="896"/>
        <w:jc w:val="both"/>
        <w:rPr>
          <w:rFonts w:ascii="David" w:hAnsi="David" w:cs="David"/>
          <w:color w:val="000000"/>
          <w:sz w:val="24"/>
          <w:szCs w:val="24"/>
        </w:rPr>
      </w:pPr>
      <w:r>
        <w:rPr>
          <w:rFonts w:ascii="David" w:hAnsi="David" w:cs="David"/>
          <w:color w:val="000000"/>
          <w:sz w:val="24"/>
          <w:szCs w:val="24"/>
          <w:rtl/>
        </w:rPr>
        <w:t>והינה – "</w:t>
      </w:r>
      <w:r>
        <w:rPr>
          <w:rFonts w:ascii="David" w:hAnsi="David" w:cs="David"/>
          <w:color w:val="000000"/>
          <w:sz w:val="24"/>
          <w:szCs w:val="24"/>
          <w:u w:val="single"/>
          <w:rtl/>
        </w:rPr>
        <w:t>בתחילת חודש יוני 2020</w:t>
      </w:r>
      <w:r>
        <w:rPr>
          <w:rFonts w:ascii="David" w:hAnsi="David" w:cs="David"/>
          <w:color w:val="000000"/>
          <w:sz w:val="24"/>
          <w:szCs w:val="24"/>
          <w:rtl/>
        </w:rPr>
        <w:t>" הוצגה היחידה בקומה 28, הפעם על ידי מתווכת חדשה. כלומר – בעוד הנתבעים בקשר עם התובע, וכאשר טרם מצאו נכס לרכישה – הוצגה להם כנטען היחידה "מחדש" על ידי מתווכת חדשה.</w:t>
      </w:r>
    </w:p>
    <w:p w:rsidR="001F2927" w:rsidRDefault="001F2927" w:rsidP="001F2927">
      <w:pPr>
        <w:pStyle w:val="ad"/>
        <w:spacing w:line="360" w:lineRule="auto"/>
        <w:ind w:left="896"/>
        <w:jc w:val="both"/>
        <w:rPr>
          <w:rFonts w:ascii="David" w:hAnsi="David" w:cs="David"/>
          <w:color w:val="000000"/>
          <w:sz w:val="24"/>
          <w:szCs w:val="24"/>
          <w:rtl/>
        </w:rPr>
      </w:pPr>
      <w:r>
        <w:rPr>
          <w:rFonts w:ascii="David" w:hAnsi="David" w:cs="David"/>
          <w:color w:val="000000"/>
          <w:sz w:val="24"/>
          <w:szCs w:val="24"/>
          <w:rtl/>
        </w:rPr>
        <w:t>הצגתה היחידה "מחדש" על ידי מתווכת חדשה, כנטען – אינה מוחקת ומאיינת את פעולות התובע ואת הצגת היחידה כשנה ושלושה חודשים קודם לכן. תקופת הזמן של כארבעה עשר וחצי חודשים – לא מביאה לכך שהנתבעים רשאים להתחמק מתשלום דמי התיווך ומחובם לתובע. לכך יצטרף האמור בפסקה הבאה.</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numPr>
          <w:ilvl w:val="0"/>
          <w:numId w:val="15"/>
        </w:numPr>
        <w:spacing w:line="360" w:lineRule="auto"/>
        <w:jc w:val="both"/>
        <w:rPr>
          <w:rFonts w:ascii="David" w:hAnsi="David" w:cs="David"/>
          <w:color w:val="000000"/>
          <w:sz w:val="24"/>
          <w:szCs w:val="24"/>
          <w:rtl/>
        </w:rPr>
      </w:pPr>
      <w:r>
        <w:rPr>
          <w:rFonts w:ascii="David" w:hAnsi="David" w:cs="David"/>
          <w:color w:val="000000"/>
          <w:sz w:val="24"/>
          <w:szCs w:val="24"/>
          <w:rtl/>
        </w:rPr>
        <w:t xml:space="preserve">בשולי הדברים אשוב ואפנה להתנהלות הנתבעים שאף היא מטרידה. בעוד בתחילת חודש יוני 2020 הנתבעים מסיירים ביחידה אשר "שכחו" שהוצגה להם על ידי התובע, הרי אותו תובע עצמו המתין לתשובתם ביחס ליחידה אחרת.  </w:t>
      </w:r>
    </w:p>
    <w:p w:rsidR="001F2927" w:rsidRDefault="001F2927" w:rsidP="001F2927">
      <w:pPr>
        <w:pStyle w:val="ad"/>
        <w:spacing w:line="360" w:lineRule="auto"/>
        <w:ind w:left="896"/>
        <w:jc w:val="both"/>
        <w:rPr>
          <w:rFonts w:ascii="David" w:hAnsi="David" w:cs="David"/>
          <w:color w:val="000000"/>
          <w:sz w:val="24"/>
          <w:szCs w:val="24"/>
        </w:rPr>
      </w:pPr>
      <w:r>
        <w:rPr>
          <w:rFonts w:ascii="David" w:hAnsi="David" w:cs="David"/>
          <w:color w:val="000000"/>
          <w:sz w:val="24"/>
          <w:szCs w:val="24"/>
          <w:rtl/>
        </w:rPr>
        <w:t xml:space="preserve">ביום 1/6/2020 פנה התובע, פעם נוספת, אל הנתבעת 2 והציע נכס חדש. במהלך כל המחצית הראשונה של חודש יוני כלל לא השיבה לו הנתבעת 2. זאת כאשר, כאמור, בדיוק באותה תקופה ("בתחילת חודש יוני 2020")  הוצגה היחידה מחדש על ידי מתווכת חדשה. רק ביום </w:t>
      </w:r>
      <w:r>
        <w:rPr>
          <w:rFonts w:ascii="David" w:hAnsi="David" w:cs="David"/>
          <w:color w:val="000000"/>
          <w:sz w:val="24"/>
          <w:szCs w:val="24"/>
          <w:rtl/>
        </w:rPr>
        <w:lastRenderedPageBreak/>
        <w:t xml:space="preserve">16/6/2020, כאשר התובע ממתין לתשובה וכאשר הנתבעים סיירו ביחידה שכבר הציג להם התובע – רק במועד זה השיבה הנתבעת 2 שאינם מעוניינים ברכישה. </w:t>
      </w:r>
    </w:p>
    <w:p w:rsidR="001F2927" w:rsidRDefault="001F2927" w:rsidP="001F2927">
      <w:pPr>
        <w:pStyle w:val="ad"/>
        <w:spacing w:line="360" w:lineRule="auto"/>
        <w:ind w:left="896"/>
        <w:jc w:val="both"/>
        <w:rPr>
          <w:rFonts w:ascii="David" w:hAnsi="David" w:cs="David"/>
          <w:color w:val="000000"/>
          <w:sz w:val="24"/>
          <w:szCs w:val="24"/>
          <w:rtl/>
        </w:rPr>
      </w:pPr>
    </w:p>
    <w:p w:rsidR="001F2927" w:rsidRDefault="001F2927" w:rsidP="001F2927">
      <w:pPr>
        <w:pStyle w:val="ad"/>
        <w:spacing w:line="360" w:lineRule="auto"/>
        <w:ind w:left="-739"/>
        <w:jc w:val="both"/>
        <w:rPr>
          <w:rFonts w:ascii="David" w:hAnsi="David" w:cs="David"/>
          <w:b/>
          <w:bCs/>
          <w:sz w:val="24"/>
          <w:szCs w:val="24"/>
          <w:rtl/>
        </w:rPr>
      </w:pPr>
      <w:r>
        <w:rPr>
          <w:rFonts w:ascii="David" w:hAnsi="David" w:cs="David"/>
          <w:b/>
          <w:bCs/>
          <w:sz w:val="24"/>
          <w:szCs w:val="24"/>
          <w:rtl/>
        </w:rPr>
        <w:t>הערת מעבר – משנקבע שאכן נחתם הסכם תיווך מחייב וכן שהתובע זכאי לסך של 982,800 ₪, ומשנדחו טענות הנתבעים ביחס להיעדר בלעדיות וכן ביחס לתקופת הזמן שחלפה ממועד ההסכם  - הרי נותרו מספר שאלות משנה אליהן אתייחס בפסקה הבאה.</w:t>
      </w:r>
    </w:p>
    <w:p w:rsidR="001F2927" w:rsidRDefault="001F2927" w:rsidP="001F2927">
      <w:pPr>
        <w:pStyle w:val="ad"/>
        <w:spacing w:line="360" w:lineRule="auto"/>
        <w:ind w:left="896"/>
        <w:jc w:val="both"/>
        <w:rPr>
          <w:rFonts w:ascii="David" w:hAnsi="David" w:cs="David"/>
          <w:color w:val="000000"/>
          <w:sz w:val="24"/>
          <w:szCs w:val="24"/>
        </w:rPr>
      </w:pPr>
      <w:r>
        <w:rPr>
          <w:rFonts w:ascii="David" w:hAnsi="David" w:cs="David"/>
          <w:color w:val="000000"/>
          <w:sz w:val="24"/>
          <w:szCs w:val="24"/>
          <w:rtl/>
        </w:rPr>
        <w:t xml:space="preserve"> </w:t>
      </w:r>
    </w:p>
    <w:p w:rsidR="001F2927" w:rsidRDefault="001F2927" w:rsidP="001F2927">
      <w:pPr>
        <w:pStyle w:val="ad"/>
        <w:spacing w:line="360" w:lineRule="auto"/>
        <w:ind w:left="-739"/>
        <w:jc w:val="both"/>
        <w:rPr>
          <w:rFonts w:ascii="David" w:hAnsi="David" w:cs="David"/>
          <w:sz w:val="24"/>
          <w:szCs w:val="24"/>
          <w:rtl/>
        </w:rPr>
      </w:pPr>
    </w:p>
    <w:p w:rsidR="001F2927" w:rsidRDefault="001F2927" w:rsidP="001F2927">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sz w:val="24"/>
          <w:szCs w:val="24"/>
          <w:u w:val="single"/>
          <w:rtl/>
        </w:rPr>
        <w:t>שלוש הערות לפני סיום</w:t>
      </w:r>
    </w:p>
    <w:p w:rsidR="001F2927" w:rsidRDefault="001F2927" w:rsidP="001F2927">
      <w:pPr>
        <w:pStyle w:val="ad"/>
        <w:numPr>
          <w:ilvl w:val="1"/>
          <w:numId w:val="1"/>
        </w:numPr>
        <w:spacing w:line="360" w:lineRule="auto"/>
        <w:ind w:left="536" w:hanging="708"/>
        <w:jc w:val="both"/>
        <w:rPr>
          <w:rFonts w:ascii="David" w:hAnsi="David" w:cs="David"/>
          <w:color w:val="000000"/>
          <w:sz w:val="24"/>
          <w:szCs w:val="24"/>
        </w:rPr>
      </w:pPr>
      <w:r>
        <w:rPr>
          <w:rFonts w:ascii="David" w:hAnsi="David" w:cs="David"/>
          <w:b/>
          <w:bCs/>
          <w:color w:val="000000"/>
          <w:sz w:val="24"/>
          <w:szCs w:val="24"/>
          <w:u w:val="single"/>
          <w:rtl/>
        </w:rPr>
        <w:t>התייחסות לטענה לפיה ההסכם הוא "הסכם אחיד" כמשמעו בדין</w:t>
      </w:r>
      <w:r>
        <w:rPr>
          <w:rFonts w:ascii="David" w:hAnsi="David" w:cs="David"/>
          <w:color w:val="000000"/>
          <w:sz w:val="24"/>
          <w:szCs w:val="24"/>
          <w:rtl/>
        </w:rPr>
        <w:t xml:space="preserve"> - הנתבעים טענו לכך שהסכם התיווך הוא בגדר חוזה אחיד בעלי תנאים מקפחים. אין לקבל טענה זו. חיובם של הנתבעים מעוגן אף בהוראות חוק המתווכים במקרקעין; שאלת התובע כ"גורם יעיל" הוכרעה לא רק בשל הוראות ההסכם אלא בעיקר בשל הדין הקיים ופסיקת בתי המשפט ור' הדיון במסגרת סעיף 4.3 לעיל. מכאן אין מקום לטענה כללית וגורפת כנגד הסכם התיווך שהציג התובע.</w:t>
      </w:r>
    </w:p>
    <w:p w:rsidR="001F2927" w:rsidRDefault="001F2927" w:rsidP="001F2927">
      <w:pPr>
        <w:pStyle w:val="ad"/>
        <w:spacing w:line="360" w:lineRule="auto"/>
        <w:ind w:left="536"/>
        <w:jc w:val="both"/>
        <w:rPr>
          <w:rFonts w:ascii="David" w:hAnsi="David" w:cs="David"/>
          <w:color w:val="000000"/>
          <w:sz w:val="24"/>
          <w:szCs w:val="24"/>
        </w:rPr>
      </w:pPr>
    </w:p>
    <w:p w:rsidR="001F2927" w:rsidRDefault="001F2927" w:rsidP="001F2927">
      <w:pPr>
        <w:pStyle w:val="ad"/>
        <w:numPr>
          <w:ilvl w:val="1"/>
          <w:numId w:val="1"/>
        </w:numPr>
        <w:spacing w:line="360" w:lineRule="auto"/>
        <w:ind w:left="536" w:hanging="708"/>
        <w:jc w:val="both"/>
        <w:rPr>
          <w:rFonts w:ascii="David" w:hAnsi="David" w:cs="David"/>
          <w:color w:val="000000"/>
          <w:sz w:val="24"/>
          <w:szCs w:val="24"/>
        </w:rPr>
      </w:pPr>
      <w:r>
        <w:rPr>
          <w:rFonts w:ascii="David" w:hAnsi="David" w:cs="David"/>
          <w:b/>
          <w:bCs/>
          <w:color w:val="000000"/>
          <w:sz w:val="24"/>
          <w:szCs w:val="24"/>
          <w:u w:val="single"/>
          <w:rtl/>
        </w:rPr>
        <w:t>התייחסות לטענה לפיה התובע לא תבע גם את מוכרי הנכס</w:t>
      </w:r>
      <w:r>
        <w:rPr>
          <w:rFonts w:ascii="David" w:hAnsi="David" w:cs="David"/>
          <w:color w:val="000000"/>
          <w:sz w:val="24"/>
          <w:szCs w:val="24"/>
          <w:rtl/>
        </w:rPr>
        <w:t xml:space="preserve"> – הנתבעים הפנו לכך שהתביעה הופנתה אך ורק כלפיהם ולא גם כנגד מוכרי הנכס. במלוא הכבוד אין בטענה זו דבר. התובע אינו מחויב לתבוע דווקא את מוכרי הנכס כאשר קיימת התחייבות חוזית מחייבת בין הנתבעים לבינו. ממילא גם לא ניתן לקבוע, במסגרת ההליך כאן, מה היה הדין אילו היתה מוגשת תביעה כנגד מוכרי הנכס וכן מה היה המערך ההסכמי מולם.</w:t>
      </w:r>
    </w:p>
    <w:p w:rsidR="001F2927" w:rsidRDefault="001F2927" w:rsidP="001F2927">
      <w:pPr>
        <w:pStyle w:val="ad"/>
        <w:rPr>
          <w:rFonts w:ascii="David" w:hAnsi="David" w:cs="David"/>
          <w:color w:val="000000"/>
          <w:sz w:val="24"/>
          <w:szCs w:val="24"/>
        </w:rPr>
      </w:pPr>
    </w:p>
    <w:p w:rsidR="001F2927" w:rsidRDefault="001F2927" w:rsidP="001F2927">
      <w:pPr>
        <w:pStyle w:val="ad"/>
        <w:numPr>
          <w:ilvl w:val="1"/>
          <w:numId w:val="1"/>
        </w:numPr>
        <w:spacing w:line="360" w:lineRule="auto"/>
        <w:ind w:left="536" w:hanging="708"/>
        <w:jc w:val="both"/>
        <w:rPr>
          <w:rFonts w:ascii="David" w:hAnsi="David" w:cs="David"/>
          <w:color w:val="000000"/>
          <w:sz w:val="24"/>
          <w:szCs w:val="24"/>
          <w:rtl/>
        </w:rPr>
      </w:pPr>
      <w:r>
        <w:rPr>
          <w:rFonts w:ascii="David" w:hAnsi="David" w:cs="David"/>
          <w:b/>
          <w:bCs/>
          <w:color w:val="000000"/>
          <w:sz w:val="24"/>
          <w:szCs w:val="24"/>
          <w:u w:val="single"/>
          <w:rtl/>
        </w:rPr>
        <w:t>התייחסות אל הנתבע 4</w:t>
      </w:r>
    </w:p>
    <w:p w:rsidR="001F2927" w:rsidRDefault="001F2927" w:rsidP="001F2927">
      <w:pPr>
        <w:pStyle w:val="ad"/>
        <w:numPr>
          <w:ilvl w:val="0"/>
          <w:numId w:val="16"/>
        </w:numPr>
        <w:spacing w:line="360" w:lineRule="auto"/>
        <w:jc w:val="both"/>
        <w:rPr>
          <w:rFonts w:ascii="David" w:hAnsi="David" w:cs="David"/>
          <w:color w:val="000000"/>
          <w:sz w:val="24"/>
          <w:szCs w:val="24"/>
        </w:rPr>
      </w:pPr>
      <w:r>
        <w:rPr>
          <w:rFonts w:ascii="David" w:hAnsi="David" w:cs="David"/>
          <w:color w:val="000000"/>
          <w:sz w:val="24"/>
          <w:szCs w:val="24"/>
          <w:rtl/>
        </w:rPr>
        <w:t xml:space="preserve">הנתבע 4 שורבב לתביעה בעל כורחו. הנתבע 4 לא התחייב בחתימתו על הסכם התיווך, בניגוד לנתבעת 3 רעייתו. הנתבע 4 אף לא רכש את הנכס, בניגוד לנתבעים 1-2. מכאן – אין מקום לחייב את הנתבע 4 והתביעה כנגדו תידחה. </w:t>
      </w:r>
    </w:p>
    <w:p w:rsidR="001F2927" w:rsidRDefault="001F2927" w:rsidP="001F2927">
      <w:pPr>
        <w:pStyle w:val="ad"/>
        <w:rPr>
          <w:rFonts w:ascii="David" w:hAnsi="David" w:cs="David"/>
          <w:color w:val="000000"/>
          <w:sz w:val="24"/>
          <w:szCs w:val="24"/>
        </w:rPr>
      </w:pPr>
    </w:p>
    <w:p w:rsidR="001F2927" w:rsidRDefault="001F2927" w:rsidP="001F2927">
      <w:pPr>
        <w:pStyle w:val="ad"/>
        <w:numPr>
          <w:ilvl w:val="0"/>
          <w:numId w:val="16"/>
        </w:numPr>
        <w:spacing w:line="360" w:lineRule="auto"/>
        <w:jc w:val="both"/>
        <w:rPr>
          <w:rFonts w:ascii="David" w:hAnsi="David" w:cs="David"/>
          <w:color w:val="000000"/>
          <w:sz w:val="24"/>
          <w:szCs w:val="24"/>
          <w:rtl/>
        </w:rPr>
      </w:pPr>
      <w:r>
        <w:rPr>
          <w:rFonts w:ascii="David" w:hAnsi="David" w:cs="David"/>
          <w:color w:val="000000"/>
          <w:sz w:val="24"/>
          <w:szCs w:val="24"/>
          <w:rtl/>
        </w:rPr>
        <w:t xml:space="preserve">הנתבע 4 אכן שורבב לתביעה, אך הדבר נעשה על ידי ובעקבות טענות והתנהלות הנתבעים 1-2. לענין זה ר' תשובת הנתבעים, באמצעות ב"כ, מיום 22/3/2021 (סעיף 3.2 לעיל). תשובה המפנה ישירות אל הנתבע 4 ואל הטענה לפיה החתימה האלקטרונית על הסכם התיווך היא שלו. בנסיבות אלה, אך סביר, זהיר ונכון היה לצרף את הנתבע 4 לתביעה. אשר על כן ובהתייחס לכך שהנתבע 4  יוצג יחדיו עם כל הנתבעים – דחיית התביעה כנגדו תהיה ללא חיוב התובע בהוצאות ובשכר טרחת עו"ד.   </w:t>
      </w:r>
    </w:p>
    <w:p w:rsidR="001F2927" w:rsidRDefault="001F2927" w:rsidP="001F2927">
      <w:pPr>
        <w:pStyle w:val="ad"/>
        <w:spacing w:line="360" w:lineRule="auto"/>
        <w:ind w:left="-739"/>
        <w:jc w:val="both"/>
        <w:rPr>
          <w:rFonts w:ascii="David" w:hAnsi="David" w:cs="David"/>
          <w:sz w:val="24"/>
          <w:szCs w:val="24"/>
          <w:rtl/>
        </w:rPr>
      </w:pPr>
    </w:p>
    <w:p w:rsidR="00692726" w:rsidRDefault="00692726" w:rsidP="001F2927">
      <w:pPr>
        <w:pStyle w:val="ad"/>
        <w:spacing w:line="360" w:lineRule="auto"/>
        <w:ind w:left="-739"/>
        <w:jc w:val="both"/>
        <w:rPr>
          <w:rFonts w:ascii="David" w:hAnsi="David" w:cs="David"/>
          <w:sz w:val="24"/>
          <w:szCs w:val="24"/>
          <w:rtl/>
        </w:rPr>
      </w:pPr>
    </w:p>
    <w:p w:rsidR="00692726" w:rsidRDefault="00692726" w:rsidP="001F2927">
      <w:pPr>
        <w:pStyle w:val="ad"/>
        <w:spacing w:line="360" w:lineRule="auto"/>
        <w:ind w:left="-739"/>
        <w:jc w:val="both"/>
        <w:rPr>
          <w:rFonts w:ascii="David" w:hAnsi="David" w:cs="David"/>
          <w:sz w:val="24"/>
          <w:szCs w:val="24"/>
          <w:rtl/>
        </w:rPr>
      </w:pPr>
    </w:p>
    <w:p w:rsidR="00692726" w:rsidRDefault="00692726" w:rsidP="001F2927">
      <w:pPr>
        <w:pStyle w:val="ad"/>
        <w:spacing w:line="360" w:lineRule="auto"/>
        <w:ind w:left="-739"/>
        <w:jc w:val="both"/>
        <w:rPr>
          <w:rFonts w:ascii="David" w:hAnsi="David" w:cs="David"/>
          <w:sz w:val="24"/>
          <w:szCs w:val="24"/>
        </w:rPr>
      </w:pPr>
    </w:p>
    <w:p w:rsidR="001F2927" w:rsidRDefault="001F2927" w:rsidP="001F2927">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sz w:val="24"/>
          <w:szCs w:val="24"/>
          <w:u w:val="single"/>
          <w:rtl/>
        </w:rPr>
        <w:lastRenderedPageBreak/>
        <w:t>סוף דבר</w:t>
      </w:r>
    </w:p>
    <w:p w:rsidR="001F2927" w:rsidRDefault="001F2927" w:rsidP="001F2927">
      <w:pPr>
        <w:pStyle w:val="ad"/>
        <w:spacing w:line="360" w:lineRule="auto"/>
        <w:ind w:left="-172"/>
        <w:jc w:val="both"/>
        <w:rPr>
          <w:rFonts w:ascii="David" w:hAnsi="David" w:cs="David"/>
          <w:color w:val="000000"/>
          <w:sz w:val="24"/>
          <w:szCs w:val="24"/>
        </w:rPr>
      </w:pPr>
      <w:r>
        <w:rPr>
          <w:rFonts w:ascii="David" w:hAnsi="David" w:cs="David"/>
          <w:color w:val="000000"/>
          <w:sz w:val="24"/>
          <w:szCs w:val="24"/>
          <w:rtl/>
        </w:rPr>
        <w:t>לאור האמור לעיל, התביעה מתקבלת בחלקה ואני קובע כדלקמן:</w:t>
      </w:r>
    </w:p>
    <w:p w:rsidR="001F2927" w:rsidRDefault="001F2927" w:rsidP="001F2927">
      <w:pPr>
        <w:pStyle w:val="ad"/>
        <w:spacing w:line="360" w:lineRule="auto"/>
        <w:ind w:left="-172"/>
        <w:jc w:val="both"/>
        <w:rPr>
          <w:rFonts w:ascii="David" w:hAnsi="David" w:cs="David"/>
          <w:color w:val="000000"/>
          <w:sz w:val="24"/>
          <w:szCs w:val="24"/>
          <w:rtl/>
        </w:rPr>
      </w:pPr>
    </w:p>
    <w:p w:rsidR="001F2927" w:rsidRDefault="001F2927" w:rsidP="001F2927">
      <w:pPr>
        <w:pStyle w:val="ad"/>
        <w:numPr>
          <w:ilvl w:val="0"/>
          <w:numId w:val="17"/>
        </w:numPr>
        <w:spacing w:line="360" w:lineRule="auto"/>
        <w:jc w:val="both"/>
        <w:rPr>
          <w:rFonts w:ascii="David" w:hAnsi="David" w:cs="David"/>
          <w:color w:val="000000"/>
          <w:sz w:val="24"/>
          <w:szCs w:val="24"/>
          <w:rtl/>
        </w:rPr>
      </w:pPr>
      <w:r>
        <w:rPr>
          <w:rFonts w:ascii="David" w:hAnsi="David" w:cs="David"/>
          <w:color w:val="000000"/>
          <w:sz w:val="24"/>
          <w:szCs w:val="24"/>
          <w:rtl/>
        </w:rPr>
        <w:t>התביעה כנגד הנתבעים 1,2,3 – רוכשי היחידה ומי שחתמה על הסכם התיווך</w:t>
      </w:r>
      <w:r w:rsidR="00692726">
        <w:rPr>
          <w:rFonts w:ascii="David" w:hAnsi="David" w:cs="David" w:hint="cs"/>
          <w:color w:val="000000"/>
          <w:sz w:val="24"/>
          <w:szCs w:val="24"/>
          <w:rtl/>
        </w:rPr>
        <w:t>,</w:t>
      </w:r>
      <w:r>
        <w:rPr>
          <w:rFonts w:ascii="David" w:hAnsi="David" w:cs="David"/>
          <w:color w:val="000000"/>
          <w:sz w:val="24"/>
          <w:szCs w:val="24"/>
          <w:rtl/>
        </w:rPr>
        <w:t xml:space="preserve"> מתקבלת. אני מחייב את הנתבעים 1,2,3, ביחד ולחוד, בתשלום הסך של </w:t>
      </w:r>
      <w:r>
        <w:rPr>
          <w:rFonts w:ascii="David" w:hAnsi="David" w:cs="David"/>
          <w:b/>
          <w:bCs/>
          <w:color w:val="000000"/>
          <w:sz w:val="24"/>
          <w:szCs w:val="24"/>
          <w:u w:val="single"/>
          <w:rtl/>
        </w:rPr>
        <w:t>982,800 ₪</w:t>
      </w:r>
      <w:r>
        <w:rPr>
          <w:rFonts w:ascii="David" w:hAnsi="David" w:cs="David"/>
          <w:color w:val="000000"/>
          <w:sz w:val="24"/>
          <w:szCs w:val="24"/>
          <w:rtl/>
        </w:rPr>
        <w:t xml:space="preserve"> בצירוף הפרשי הצמדה וריבית כחוק מיום 8/6/2021 ועד למועד התשלום בפועל.</w:t>
      </w:r>
    </w:p>
    <w:p w:rsidR="001F2927" w:rsidRDefault="001F2927" w:rsidP="001F2927">
      <w:pPr>
        <w:pStyle w:val="ad"/>
        <w:spacing w:line="360" w:lineRule="auto"/>
        <w:ind w:left="188"/>
        <w:jc w:val="both"/>
        <w:rPr>
          <w:rFonts w:ascii="David" w:hAnsi="David" w:cs="David"/>
          <w:color w:val="000000"/>
          <w:sz w:val="24"/>
          <w:szCs w:val="24"/>
        </w:rPr>
      </w:pPr>
    </w:p>
    <w:p w:rsidR="001F2927" w:rsidRDefault="001F2927" w:rsidP="001F2927">
      <w:pPr>
        <w:pStyle w:val="ad"/>
        <w:numPr>
          <w:ilvl w:val="0"/>
          <w:numId w:val="17"/>
        </w:numPr>
        <w:spacing w:line="360" w:lineRule="auto"/>
        <w:jc w:val="both"/>
        <w:rPr>
          <w:rFonts w:ascii="David" w:hAnsi="David" w:cs="David"/>
          <w:color w:val="000000"/>
          <w:sz w:val="24"/>
          <w:szCs w:val="24"/>
        </w:rPr>
      </w:pPr>
      <w:r>
        <w:rPr>
          <w:rFonts w:ascii="David" w:hAnsi="David" w:cs="David"/>
          <w:color w:val="000000"/>
          <w:sz w:val="24"/>
          <w:szCs w:val="24"/>
          <w:rtl/>
        </w:rPr>
        <w:t xml:space="preserve">עוד אני מחייב את הנתבעים 1,2,3 ביחד ולחוד, בתשלום הוצאות משפט ושכר טרחת עו"ד בסך כולל  של </w:t>
      </w:r>
      <w:r>
        <w:rPr>
          <w:rFonts w:ascii="David" w:hAnsi="David" w:cs="David"/>
          <w:b/>
          <w:bCs/>
          <w:color w:val="000000"/>
          <w:sz w:val="24"/>
          <w:szCs w:val="24"/>
          <w:u w:val="single"/>
          <w:rtl/>
        </w:rPr>
        <w:t>98,000 ₪</w:t>
      </w:r>
      <w:r>
        <w:rPr>
          <w:rFonts w:ascii="David" w:hAnsi="David" w:cs="David"/>
          <w:color w:val="000000"/>
          <w:sz w:val="24"/>
          <w:szCs w:val="24"/>
          <w:rtl/>
        </w:rPr>
        <w:t>. סכום זה יישא הפרשי הצמדה וריבית כחוק ממועד פסק הדין ועד למועד התשלום בפועל.</w:t>
      </w:r>
    </w:p>
    <w:p w:rsidR="001F2927" w:rsidRDefault="001F2927" w:rsidP="001F2927">
      <w:pPr>
        <w:pStyle w:val="ad"/>
        <w:spacing w:line="360" w:lineRule="auto"/>
        <w:ind w:left="188"/>
        <w:jc w:val="both"/>
        <w:rPr>
          <w:rFonts w:ascii="David" w:hAnsi="David" w:cs="David"/>
          <w:color w:val="000000"/>
          <w:sz w:val="24"/>
          <w:szCs w:val="24"/>
        </w:rPr>
      </w:pPr>
    </w:p>
    <w:p w:rsidR="001F2927" w:rsidRDefault="001F2927" w:rsidP="001F2927">
      <w:pPr>
        <w:pStyle w:val="ad"/>
        <w:numPr>
          <w:ilvl w:val="0"/>
          <w:numId w:val="17"/>
        </w:numPr>
        <w:spacing w:line="360" w:lineRule="auto"/>
        <w:jc w:val="both"/>
        <w:rPr>
          <w:rFonts w:ascii="David" w:hAnsi="David" w:cs="David"/>
          <w:color w:val="000000"/>
          <w:sz w:val="24"/>
          <w:szCs w:val="24"/>
        </w:rPr>
      </w:pPr>
      <w:r>
        <w:rPr>
          <w:rFonts w:ascii="David" w:hAnsi="David" w:cs="David"/>
          <w:color w:val="000000"/>
          <w:sz w:val="24"/>
          <w:szCs w:val="24"/>
          <w:rtl/>
        </w:rPr>
        <w:t xml:space="preserve">התביעה כנגד הנתבע 4 נדחית ללא צו להוצאות וזאת כפי שתואר ונקבע בסעיף 6.3 לעיל.   </w:t>
      </w:r>
    </w:p>
    <w:p w:rsidR="001F2927" w:rsidRDefault="001F2927" w:rsidP="001F2927">
      <w:pPr>
        <w:pStyle w:val="ad"/>
        <w:spacing w:line="360" w:lineRule="auto"/>
        <w:ind w:left="896"/>
        <w:jc w:val="both"/>
        <w:rPr>
          <w:rFonts w:ascii="David" w:hAnsi="David" w:cs="David"/>
          <w:sz w:val="24"/>
          <w:szCs w:val="24"/>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טבת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2023</w:t>
          </w:r>
        </w:sdtContent>
      </w:sdt>
      <w:r w:rsidR="00005C8B">
        <w:rPr>
          <w:rFonts w:ascii="Arial" w:hAnsi="Arial"/>
          <w:noProof w:val="0"/>
          <w:rtl/>
        </w:rPr>
        <w:t>, בהעדר הצדדים.</w:t>
      </w:r>
    </w:p>
    <w:p w:rsidR="00C43648" w:rsidRDefault="00A47B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5539533"/>
        </w:sdtPr>
        <w:sdtEndPr/>
        <w:sdtContent>
          <w:r w:rsidR="00A47B64">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F2927">
      <w:headerReference w:type="even" r:id="rId11"/>
      <w:headerReference w:type="default" r:id="rId12"/>
      <w:footerReference w:type="even" r:id="rId13"/>
      <w:footerReference w:type="default" r:id="rId14"/>
      <w:headerReference w:type="first" r:id="rId15"/>
      <w:footerReference w:type="first" r:id="rId16"/>
      <w:pgSz w:w="11907" w:h="16840" w:code="9"/>
      <w:pgMar w:top="1134" w:right="1588" w:bottom="1021" w:left="158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47B6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47B64">
      <w:rPr>
        <w:rStyle w:val="ab"/>
        <w:rtl/>
      </w:rPr>
      <w:t>17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E1068A" w:rsidRDefault="00A47B64" w:rsidP="001F2927">
          <w:pPr>
            <w:rPr>
              <w:sz w:val="20"/>
              <w:szCs w:val="20"/>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18091-06-21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פינסון נ' לאו ואח'</w:t>
              </w:r>
            </w:sdtContent>
          </w:sdt>
          <w:r w:rsidR="007C2453">
            <w:rPr>
              <w:b/>
              <w:bCs/>
              <w:noProof w:val="0"/>
              <w:sz w:val="26"/>
              <w:szCs w:val="26"/>
              <w:rtl/>
            </w:rPr>
            <w:t xml:space="preserve"> </w:t>
          </w:r>
          <w:r w:rsidR="007D45E3">
            <w:rPr>
              <w:rFonts w:hint="cs"/>
              <w:rtl/>
            </w:rPr>
            <w:t xml:space="preserve">                           </w:t>
          </w:r>
          <w:r w:rsidR="007D45E3">
            <w:rPr>
              <w:rFonts w:hint="cs"/>
              <w:sz w:val="20"/>
              <w:szCs w:val="20"/>
              <w:rtl/>
            </w:rPr>
            <w:t xml:space="preserve">       </w:t>
          </w:r>
          <w:r w:rsidR="001F2927">
            <w:rPr>
              <w:rFonts w:hint="cs"/>
              <w:sz w:val="20"/>
              <w:szCs w:val="20"/>
              <w:rtl/>
            </w:rPr>
            <w:t xml:space="preserve">                 </w:t>
          </w:r>
        </w:p>
      </w:tc>
    </w:tr>
  </w:tbl>
  <w:p w:rsidR="00694556" w:rsidRDefault="00694556" w:rsidP="001F2927">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11820"/>
    <w:multiLevelType w:val="hybridMultilevel"/>
    <w:tmpl w:val="808CDC02"/>
    <w:lvl w:ilvl="0" w:tplc="85F8E22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 w15:restartNumberingAfterBreak="0">
    <w:nsid w:val="110650CD"/>
    <w:multiLevelType w:val="hybridMultilevel"/>
    <w:tmpl w:val="26BA0302"/>
    <w:lvl w:ilvl="0" w:tplc="E0AA626C">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2"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 w15:restartNumberingAfterBreak="0">
    <w:nsid w:val="1A7413A9"/>
    <w:multiLevelType w:val="hybridMultilevel"/>
    <w:tmpl w:val="70F8735C"/>
    <w:lvl w:ilvl="0" w:tplc="FBA460B4">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4" w15:restartNumberingAfterBreak="0">
    <w:nsid w:val="33324801"/>
    <w:multiLevelType w:val="hybridMultilevel"/>
    <w:tmpl w:val="FBB29F68"/>
    <w:lvl w:ilvl="0" w:tplc="C026F782">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5" w15:restartNumberingAfterBreak="0">
    <w:nsid w:val="381254DD"/>
    <w:multiLevelType w:val="hybridMultilevel"/>
    <w:tmpl w:val="A1EED244"/>
    <w:lvl w:ilvl="0" w:tplc="031A76D8">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6" w15:restartNumberingAfterBreak="0">
    <w:nsid w:val="44F357ED"/>
    <w:multiLevelType w:val="hybridMultilevel"/>
    <w:tmpl w:val="C116DB7A"/>
    <w:lvl w:ilvl="0" w:tplc="FE92EB42">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7" w15:restartNumberingAfterBreak="0">
    <w:nsid w:val="48ED7B42"/>
    <w:multiLevelType w:val="hybridMultilevel"/>
    <w:tmpl w:val="4080DE3E"/>
    <w:lvl w:ilvl="0" w:tplc="49F6C014">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8" w15:restartNumberingAfterBreak="0">
    <w:nsid w:val="4C4D7C1F"/>
    <w:multiLevelType w:val="hybridMultilevel"/>
    <w:tmpl w:val="E7985312"/>
    <w:lvl w:ilvl="0" w:tplc="584A9ED6">
      <w:start w:val="1"/>
      <w:numFmt w:val="bullet"/>
      <w:lvlText w:val="-"/>
      <w:lvlJc w:val="left"/>
      <w:pPr>
        <w:ind w:left="896" w:hanging="360"/>
      </w:pPr>
      <w:rPr>
        <w:rFonts w:ascii="David" w:eastAsiaTheme="minorHAnsi" w:hAnsi="David" w:cs="David" w:hint="default"/>
      </w:rPr>
    </w:lvl>
    <w:lvl w:ilvl="1" w:tplc="04090003">
      <w:start w:val="1"/>
      <w:numFmt w:val="bullet"/>
      <w:lvlText w:val="o"/>
      <w:lvlJc w:val="left"/>
      <w:pPr>
        <w:ind w:left="1616" w:hanging="360"/>
      </w:pPr>
      <w:rPr>
        <w:rFonts w:ascii="Courier New" w:hAnsi="Courier New" w:cs="Courier New" w:hint="default"/>
      </w:rPr>
    </w:lvl>
    <w:lvl w:ilvl="2" w:tplc="04090005">
      <w:start w:val="1"/>
      <w:numFmt w:val="bullet"/>
      <w:lvlText w:val=""/>
      <w:lvlJc w:val="left"/>
      <w:pPr>
        <w:ind w:left="2336" w:hanging="360"/>
      </w:pPr>
      <w:rPr>
        <w:rFonts w:ascii="Wingdings" w:hAnsi="Wingdings" w:hint="default"/>
      </w:rPr>
    </w:lvl>
    <w:lvl w:ilvl="3" w:tplc="04090001">
      <w:start w:val="1"/>
      <w:numFmt w:val="bullet"/>
      <w:lvlText w:val=""/>
      <w:lvlJc w:val="left"/>
      <w:pPr>
        <w:ind w:left="3056" w:hanging="360"/>
      </w:pPr>
      <w:rPr>
        <w:rFonts w:ascii="Symbol" w:hAnsi="Symbol" w:hint="default"/>
      </w:rPr>
    </w:lvl>
    <w:lvl w:ilvl="4" w:tplc="04090003">
      <w:start w:val="1"/>
      <w:numFmt w:val="bullet"/>
      <w:lvlText w:val="o"/>
      <w:lvlJc w:val="left"/>
      <w:pPr>
        <w:ind w:left="3776" w:hanging="360"/>
      </w:pPr>
      <w:rPr>
        <w:rFonts w:ascii="Courier New" w:hAnsi="Courier New" w:cs="Courier New" w:hint="default"/>
      </w:rPr>
    </w:lvl>
    <w:lvl w:ilvl="5" w:tplc="04090005">
      <w:start w:val="1"/>
      <w:numFmt w:val="bullet"/>
      <w:lvlText w:val=""/>
      <w:lvlJc w:val="left"/>
      <w:pPr>
        <w:ind w:left="4496" w:hanging="360"/>
      </w:pPr>
      <w:rPr>
        <w:rFonts w:ascii="Wingdings" w:hAnsi="Wingdings" w:hint="default"/>
      </w:rPr>
    </w:lvl>
    <w:lvl w:ilvl="6" w:tplc="04090001">
      <w:start w:val="1"/>
      <w:numFmt w:val="bullet"/>
      <w:lvlText w:val=""/>
      <w:lvlJc w:val="left"/>
      <w:pPr>
        <w:ind w:left="5216" w:hanging="360"/>
      </w:pPr>
      <w:rPr>
        <w:rFonts w:ascii="Symbol" w:hAnsi="Symbol" w:hint="default"/>
      </w:rPr>
    </w:lvl>
    <w:lvl w:ilvl="7" w:tplc="04090003">
      <w:start w:val="1"/>
      <w:numFmt w:val="bullet"/>
      <w:lvlText w:val="o"/>
      <w:lvlJc w:val="left"/>
      <w:pPr>
        <w:ind w:left="5936" w:hanging="360"/>
      </w:pPr>
      <w:rPr>
        <w:rFonts w:ascii="Courier New" w:hAnsi="Courier New" w:cs="Courier New" w:hint="default"/>
      </w:rPr>
    </w:lvl>
    <w:lvl w:ilvl="8" w:tplc="04090005">
      <w:start w:val="1"/>
      <w:numFmt w:val="bullet"/>
      <w:lvlText w:val=""/>
      <w:lvlJc w:val="left"/>
      <w:pPr>
        <w:ind w:left="6656" w:hanging="360"/>
      </w:pPr>
      <w:rPr>
        <w:rFonts w:ascii="Wingdings" w:hAnsi="Wingdings" w:hint="default"/>
      </w:rPr>
    </w:lvl>
  </w:abstractNum>
  <w:abstractNum w:abstractNumId="9" w15:restartNumberingAfterBreak="0">
    <w:nsid w:val="4EC34948"/>
    <w:multiLevelType w:val="hybridMultilevel"/>
    <w:tmpl w:val="45D42B0E"/>
    <w:lvl w:ilvl="0" w:tplc="52FE417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0" w15:restartNumberingAfterBreak="0">
    <w:nsid w:val="50673B7F"/>
    <w:multiLevelType w:val="hybridMultilevel"/>
    <w:tmpl w:val="F2C63E5C"/>
    <w:lvl w:ilvl="0" w:tplc="3C620742">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1" w15:restartNumberingAfterBreak="0">
    <w:nsid w:val="567A485A"/>
    <w:multiLevelType w:val="hybridMultilevel"/>
    <w:tmpl w:val="AA5C22C8"/>
    <w:lvl w:ilvl="0" w:tplc="9634D4C8">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2" w15:restartNumberingAfterBreak="0">
    <w:nsid w:val="5EA3603C"/>
    <w:multiLevelType w:val="hybridMultilevel"/>
    <w:tmpl w:val="7A741C8A"/>
    <w:lvl w:ilvl="0" w:tplc="6DF6F7BC">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3" w15:restartNumberingAfterBreak="0">
    <w:nsid w:val="6FE32A75"/>
    <w:multiLevelType w:val="hybridMultilevel"/>
    <w:tmpl w:val="64FA3F74"/>
    <w:lvl w:ilvl="0" w:tplc="DDEA0A74">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4" w15:restartNumberingAfterBreak="0">
    <w:nsid w:val="7672431C"/>
    <w:multiLevelType w:val="hybridMultilevel"/>
    <w:tmpl w:val="5B8A4298"/>
    <w:lvl w:ilvl="0" w:tplc="3402A75E">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5" w15:restartNumberingAfterBreak="0">
    <w:nsid w:val="7AE274E6"/>
    <w:multiLevelType w:val="hybridMultilevel"/>
    <w:tmpl w:val="6A523B72"/>
    <w:lvl w:ilvl="0" w:tplc="715A1E86">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6" w15:restartNumberingAfterBreak="0">
    <w:nsid w:val="7DA91986"/>
    <w:multiLevelType w:val="hybridMultilevel"/>
    <w:tmpl w:val="260AA8AC"/>
    <w:lvl w:ilvl="0" w:tplc="90F233A8">
      <w:start w:val="1"/>
      <w:numFmt w:val="hebrew1"/>
      <w:lvlText w:val="(%1)"/>
      <w:lvlJc w:val="left"/>
      <w:pPr>
        <w:ind w:left="188" w:hanging="360"/>
      </w:pPr>
    </w:lvl>
    <w:lvl w:ilvl="1" w:tplc="04090019">
      <w:start w:val="1"/>
      <w:numFmt w:val="lowerLetter"/>
      <w:lvlText w:val="%2."/>
      <w:lvlJc w:val="left"/>
      <w:pPr>
        <w:ind w:left="908" w:hanging="360"/>
      </w:pPr>
    </w:lvl>
    <w:lvl w:ilvl="2" w:tplc="0409001B">
      <w:start w:val="1"/>
      <w:numFmt w:val="lowerRoman"/>
      <w:lvlText w:val="%3."/>
      <w:lvlJc w:val="right"/>
      <w:pPr>
        <w:ind w:left="1628" w:hanging="180"/>
      </w:pPr>
    </w:lvl>
    <w:lvl w:ilvl="3" w:tplc="0409000F">
      <w:start w:val="1"/>
      <w:numFmt w:val="decimal"/>
      <w:lvlText w:val="%4."/>
      <w:lvlJc w:val="left"/>
      <w:pPr>
        <w:ind w:left="2348" w:hanging="360"/>
      </w:pPr>
    </w:lvl>
    <w:lvl w:ilvl="4" w:tplc="04090019">
      <w:start w:val="1"/>
      <w:numFmt w:val="lowerLetter"/>
      <w:lvlText w:val="%5."/>
      <w:lvlJc w:val="left"/>
      <w:pPr>
        <w:ind w:left="3068" w:hanging="360"/>
      </w:pPr>
    </w:lvl>
    <w:lvl w:ilvl="5" w:tplc="0409001B">
      <w:start w:val="1"/>
      <w:numFmt w:val="lowerRoman"/>
      <w:lvlText w:val="%6."/>
      <w:lvlJc w:val="right"/>
      <w:pPr>
        <w:ind w:left="3788" w:hanging="180"/>
      </w:pPr>
    </w:lvl>
    <w:lvl w:ilvl="6" w:tplc="0409000F">
      <w:start w:val="1"/>
      <w:numFmt w:val="decimal"/>
      <w:lvlText w:val="%7."/>
      <w:lvlJc w:val="left"/>
      <w:pPr>
        <w:ind w:left="4508" w:hanging="360"/>
      </w:pPr>
    </w:lvl>
    <w:lvl w:ilvl="7" w:tplc="04090019">
      <w:start w:val="1"/>
      <w:numFmt w:val="lowerLetter"/>
      <w:lvlText w:val="%8."/>
      <w:lvlJc w:val="left"/>
      <w:pPr>
        <w:ind w:left="5228" w:hanging="360"/>
      </w:pPr>
    </w:lvl>
    <w:lvl w:ilvl="8" w:tplc="0409001B">
      <w:start w:val="1"/>
      <w:numFmt w:val="lowerRoman"/>
      <w:lvlText w:val="%9."/>
      <w:lvlJc w:val="right"/>
      <w:pPr>
        <w:ind w:left="594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9559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95598&amp;lt;/CaseID&amp;gt;_x000d__x000a_        &amp;lt;CaseMonth&amp;gt;6&amp;lt;/CaseMonth&amp;gt;_x000d__x000a_        &amp;lt;CaseYear&amp;gt;2021&amp;lt;/CaseYear&amp;gt;_x000d__x000a_        &amp;lt;CaseNumber&amp;gt;18091&amp;lt;/CaseNumber&amp;gt;_x000d__x000a_        &amp;lt;NumeratorGroupID&amp;gt;1&amp;lt;/NumeratorGroupID&amp;gt;_x000d__x000a_        &amp;lt;CaseName&amp;gt;פינסון נ&amp;#39; לאו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091-06-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02T05:30:00+03:00&amp;lt;/CasePreviousSessionDate&amp;gt;_x000d__x000a_        &amp;lt;CaseNextDeterminingTask&amp;gt;257&amp;lt;/CaseNextDeterminingTask&amp;gt;_x000d__x000a_        &amp;lt;TemporaryAidStatus /&amp;gt;_x000d__x000a_        &amp;lt;CaseOpenDate&amp;gt;2021-06-08T11:09: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סיכומי הנתבעים  במדף היעודי&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95598&amp;lt;/CaseID&amp;gt;_x000d__x000a_        &amp;lt;CaseMonth&amp;gt;6&amp;lt;/CaseMonth&amp;gt;_x000d__x000a_        &amp;lt;CaseYear&amp;gt;2021&amp;lt;/CaseYear&amp;gt;_x000d__x000a_        &amp;lt;CaseNumber&amp;gt;18091&amp;lt;/CaseNumber&amp;gt;_x000d__x000a_        &amp;lt;NumeratorGroupID&amp;gt;1&amp;lt;/NumeratorGroupID&amp;gt;_x000d__x000a_        &amp;lt;CaseName&amp;gt;פינסון נ&amp;#39; לאו ואח&amp;#39;&amp;lt;/CaseName&amp;gt;_x000d__x000a_        &amp;lt;CourtID&amp;gt;32&amp;lt;/CourtID&amp;gt;_x000d__x000a_        &amp;lt;CaseTypeID&amp;gt;1&amp;lt;/CaseTypeID&amp;gt;_x000d__x000a_        &amp;lt;CaseInterestID&amp;gt;41&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8091-06-21&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257&amp;lt;/CaseNextDeterminingTask&amp;gt;_x000d__x000a_        &amp;lt;CaseOpenDate&amp;gt;2021-06-08T11:09: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סיכומי הנתבעים  במדף היעוד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21T15:49:37.7266052+02:00&amp;lt;/DecisionStatusChangeDate&amp;gt;_x000d__x000a_        &amp;lt;DecisionSignatureDate&amp;gt;2023-12-21T15:49:37.7266052+02:00&amp;lt;/DecisionSignatureDate&amp;gt;_x000d__x000a_        &amp;lt;DecisionSignatureUserID&amp;gt;022147607@GOV.IL&amp;lt;/DecisionSignatureUserID&amp;gt;_x000d__x000a_        &amp;lt;DecisionCreateDate&amp;gt;2023-12-21T15:49:37.7266052+02:00&amp;lt;/DecisionCreateDate&amp;gt;_x000d__x000a_        &amp;lt;DecisionChangeDate&amp;gt;2023-12-21T15:49:37.7266052+02: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9559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2"/>
    <w:docVar w:name="NGCS.TemplateProceedingID" w:val="1"/>
    <w:docVar w:name="SelectedDocumentID" w:val="35827808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2927"/>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2726"/>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A7612"/>
    <w:rsid w:val="008C5714"/>
    <w:rsid w:val="008D10B2"/>
    <w:rsid w:val="00903896"/>
    <w:rsid w:val="00906F3D"/>
    <w:rsid w:val="0094424E"/>
    <w:rsid w:val="00955642"/>
    <w:rsid w:val="009622DF"/>
    <w:rsid w:val="0096493F"/>
    <w:rsid w:val="00967DFF"/>
    <w:rsid w:val="009838D0"/>
    <w:rsid w:val="00994341"/>
    <w:rsid w:val="009D1A48"/>
    <w:rsid w:val="009E1CE7"/>
    <w:rsid w:val="009E461A"/>
    <w:rsid w:val="009E4EA5"/>
    <w:rsid w:val="009F164B"/>
    <w:rsid w:val="009F323C"/>
    <w:rsid w:val="00A3392B"/>
    <w:rsid w:val="00A46717"/>
    <w:rsid w:val="00A47B64"/>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17E3"/>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1F2927"/>
    <w:rPr>
      <w:rFonts w:ascii="Times New Roman" w:hAnsi="Times New Roman" w:cs="Times New Roman" w:hint="default"/>
      <w:color w:val="0000FF"/>
      <w:u w:val="single"/>
    </w:rPr>
  </w:style>
  <w:style w:type="paragraph" w:styleId="ad">
    <w:name w:val="List Paragraph"/>
    <w:basedOn w:val="a"/>
    <w:uiPriority w:val="34"/>
    <w:qFormat/>
    <w:rsid w:val="001F292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1F2927"/>
    <w:pPr>
      <w:spacing w:after="160" w:line="252" w:lineRule="auto"/>
      <w:ind w:left="720"/>
    </w:pPr>
    <w:rPr>
      <w:rFonts w:ascii="Calibr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4870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17454" w:rsidP="00E17454">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1D696D" w:rsidP="001D696D">
          <w:pPr>
            <w:pStyle w:val="D0835A28627A476594973290286577B22"/>
          </w:pPr>
          <w:r w:rsidRPr="007C2453">
            <w:rPr>
              <w:rFonts w:ascii="Arial" w:hAnsi="Arial"/>
              <w:b/>
              <w:bCs/>
              <w:noProof w:val="0"/>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17454"/>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745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E1745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טלי לחובר-ינקוביץ</FullName>
        <FirstName>טלי</FirstName>
        <LastName>לחובר-ינקוביץ</LastName>
        <PartyPropertyName/>
        <AuthenticationTypeAndNumber>ת"ז 022478143</AuthenticationTypeAndNumber>
        <RepresentatedOrRepresentativesNames/>
        <RepresentatedOrRepresentativesCount>0</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232356967</CasePartyID>
        <PartyTypeID>3</PartyTypeID>
        <ActivityStatusID>1</ActivityStatusID>
        <LegalEntityID>12669637</LegalEntityID>
        <CaseLegalEntityID>117151190</CaseLegalEntityID>
        <AssistantRoleID>103</AssistantRoleID>
        <AuthenticationTypeID>1</AuthenticationTypeID>
        <AuthenticationTypeName>ת"ז</AuthenticationTypeName>
        <LegalEntityNumber>022478143</LegalEntityNumber>
        <IsMainPartyType>true</IsMainPartyType>
        <CaseDisplayIdentifier>18091-06-21</CaseDisplayIdentifier>
        <CaseTypeID>1</CaseTypeID>
        <CaseTypeName>תיק אזרחי בסדר דין רגיל (ת"א)</CaseTypeName>
        <CaseName>פינסון נ' לאו ואח'</CaseName>
        <FullAddress>הארבעה 28 תל אביב -יפו קומה 5</FullAddress>
        <EmailAddress>talily@bezeqint.net</EmailAddress>
        <MotionID>0</MotionID>
        <CasePleaID>0</CasePleaID>
        <LinkedCaseID>0</LinkedCaseID>
        <PartyID>1</PartyID>
        <CasePartyCategoryID>2</CasePartyCategoryID>
        <LegalEntityAddressID>84293607</LegalEntityAddressID>
        <LegalEntityEmailAddressID>43827679</LegalEntityEmailAddressID>
        <PleaTypeID>4</PleaTypeID>
        <GroupPartyAlias/>
        <IsConverted>false</IsConverted>
        <LegalEntityNameID>12394068</LegalEntityNameID>
        <RepresentatedNamesOfAssistant/>
        <LegalEntityTypeID>11</LegalEntityTypeID>
        <IsVerdictExists>false</IsVerdictExists>
        <IsAsirAzir>false</IsAsirAzir>
        <IsPublicationProhibited>false</IsPublicationProhibited>
        <PublicationProhibitedFullName>טלי לחובר-ינקוביץ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טסלר</FullName>
        <FirstName>מיכאל</FirstName>
        <LastName>טסלר</LastName>
        <PartyPropertyName/>
        <AuthenticationTypeAndNumber>מ.ר. 46086</AuthenticationTypeAndNumber>
        <RepresentatedOrRepresentativesNames>אור פינסון</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227470860</CasePartyID>
        <PartyTypeID>2</PartyTypeID>
        <ActivityStatusID>1</ActivityStatusID>
        <PartyAliasID>20</PartyAliasID>
        <PartyAliasName>בא כוח תובעים</PartyAliasName>
        <OrdinalNumber>1</OrdinalNumber>
        <LegalEntityID>2347676</LegalEntityID>
        <CaseLegalEntityID>115605261</CaseLegalEntityID>
        <AuthenticationTypeID>4</AuthenticationTypeID>
        <AuthenticationTypeName>מ.ר.</AuthenticationTypeName>
        <LegalEntityNumber>46086</LegalEntityNumber>
        <IsMainPartyType>true</IsMainPartyType>
        <CaseDisplayIdentifier>18091-06-21</CaseDisplayIdentifier>
        <CaseTypeID>1</CaseTypeID>
        <CaseTypeName>תיק אזרחי בסדר דין רגיל (ת"א)</CaseTypeName>
        <CaseName>פינסון נ' לאו ואח'</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1974055</LegalEntityNameID>
        <RepresentatedNamesOfAssistant/>
        <LegalEntityTypeID>4</LegalEntityTypeID>
        <IsVerdictExists>false</IsVerdictExists>
        <IsAsirAzir>false</IsAsirAzir>
        <IsPublicationProhibited>false</IsPublicationProhibited>
        <PublicationProhibitedFullName>מיכאל טסלר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 פינסון</FullName>
        <FirstName>אור</FirstName>
        <LastName>פינסון</LastName>
        <PartyPropertyName/>
        <AuthenticationTypeAndNumber>ת"ז 301140679</AuthenticationTypeAndNumber>
        <RepresentatedOrRepresentativesNames>מיכאל טסלר</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227470859</CasePartyID>
        <PartyTypeID>1</PartyTypeID>
        <ActivityStatusID>1</ActivityStatusID>
        <PartyAliasID>1</PartyAliasID>
        <PartyAliasName>תובע</PartyAliasName>
        <OrdinalNumber>1</OrdinalNumber>
        <LegalEntityID>70980516</LegalEntityID>
        <CaseLegalEntityID>115605260</CaseLegalEntityID>
        <AuthenticationTypeID>1</AuthenticationTypeID>
        <AuthenticationTypeName>ת"ז</AuthenticationTypeName>
        <LegalEntityNumber>301140679</LegalEntityNumber>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FatherName>יוסף</FatherName>
        <LinkedCaseID>0</LinkedCaseID>
        <PartyID>1</PartyID>
        <CasePartyCategoryID>2</CasePartyCategoryID>
        <GrandfatherName/>
        <DrivingLicenseNumber>8560385</DrivingLicenseNumber>
        <PleaTypeID>4</PleaTypeID>
        <GroupPartyAlias>תובעים</GroupPartyAlias>
        <IsConverted>false</IsConverted>
        <LegalEntityRegisteredNameID>5838245</LegalEntityRegisteredNameID>
        <LegalEntityNameID>91494092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פינסון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ג'ואי לאו</FullName>
        <FirstName>ג'ואי</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227470861</CasePartyID>
        <PartyTypeID>1</PartyTypeID>
        <ActivityStatusID>1</ActivityStatusID>
        <PartyAliasID>2</PartyAliasID>
        <PartyAliasName>נתבע</PartyAliasName>
        <OrdinalNumber>1</OrdinalNumber>
        <LegalEntityID>79807993</LegalEntityID>
        <CaseLegalEntityID>115605262</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91494093</LegalEntityNameID>
        <RepresentatedNamesOfAssistant/>
        <LegalEntityTypeID>1</LegalEntityTypeID>
        <IsVerdictExists>false</IsVerdictExists>
        <IsAsirAzir>false</IsAsirAzir>
        <IsPublicationProhibited>false</IsPublicationProhibited>
        <PublicationProhibitedFullName>ג'ואי לאו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סהר רגב</FullName>
        <FirstName>סהר</FirstName>
        <LastName>רגב</LastName>
        <PartyPropertyName/>
        <AuthenticationTypeAndNumber>מ.ר. 56818</AuthenticationTypeAndNumber>
        <RepresentatedOrRepresentativesNames>אורן בר משה, ג'ואי לאו, טניה לאו, קרול לאו</RepresentatedOrRepresentativesNames>
        <RepresentatedOrRepresentativesCount>4</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231509854</CasePartyID>
        <PartyTypeID>2</PartyTypeID>
        <ActivityStatusID>1</ActivityStatusID>
        <PartyAliasID>21</PartyAliasID>
        <PartyAliasName>בא כוח נתבעים</PartyAliasName>
        <OrdinalNumber>1</OrdinalNumber>
        <LegalEntityID>71031140</LegalEntityID>
        <CaseLegalEntityID>116884609</CaseLegalEntityID>
        <AuthenticationTypeID>4</AuthenticationTypeID>
        <AuthenticationTypeName>מ.ר.</AuthenticationTypeName>
        <LegalEntityNumber>56818</LegalEntityNumber>
        <IsMainPartyType>true</IsMainPartyType>
        <CaseDisplayIdentifier>18091-06-21</CaseDisplayIdentifier>
        <CaseTypeID>1</CaseTypeID>
        <CaseTypeName>תיק אזרחי בסדר דין רגיל (ת"א)</CaseTypeName>
        <CaseName>פינסון נ' לאו ואח'</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4</PleaTypeID>
        <LawyerOfficeName>משרד עו"ד:  הרצוג פוקס נאמן ושות'</LawyerOfficeName>
        <LawyerOfficeID>421119</LawyerOfficeID>
        <GroupPartyAlias/>
        <IsConverted>false</IsConverted>
        <LegalEntityNameID>73891753</LegalEntityNameID>
        <RepresentatedNamesOfAssistant/>
        <LegalEntityTypeID>4</LegalEntityTypeID>
        <IsVerdictExists>false</IsVerdictExists>
        <IsAsirAzir>false</IsAsirAzir>
        <IsPublicationProhibited>false</IsPublicationProhibited>
        <PublicationProhibitedFullName>סהר רגב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קרול לאו</FullName>
        <FirstName>קרול</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227846911</CasePartyID>
        <PartyTypeID>1</PartyTypeID>
        <ActivityStatusID>1</ActivityStatusID>
        <PartyAliasID>2</PartyAliasID>
        <PartyAliasName>נתבע</PartyAliasName>
        <OrdinalNumber>2</OrdinalNumber>
        <LegalEntityID>79826869</LegalEntityID>
        <CaseLegalEntityID>115717730</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91539236</LegalEntityNameID>
        <RepresentatedNamesOfAssistant/>
        <LegalEntityTypeID>1</LegalEntityTypeID>
        <IsVerdictExists>false</IsVerdictExists>
        <IsAsirAzir>false</IsAsirAzir>
        <IsPublicationProhibited>false</IsPublicationProhibited>
        <PublicationProhibitedFullName>קרול לאו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טניה לאו</FullName>
        <FirstName>טניה</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227846931</CasePartyID>
        <PartyTypeID>1</PartyTypeID>
        <ActivityStatusID>1</ActivityStatusID>
        <PartyAliasID>2</PartyAliasID>
        <PartyAliasName>נתבע</PartyAliasName>
        <OrdinalNumber>3</OrdinalNumber>
        <LegalEntityID>79826870</LegalEntityID>
        <CaseLegalEntityID>115717741</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91539238</LegalEntityNameID>
        <RepresentatedNamesOfAssistant/>
        <LegalEntityTypeID>1</LegalEntityTypeID>
        <IsVerdictExists>false</IsVerdictExists>
        <IsAsirAzir>false</IsAsirAzir>
        <IsPublicationProhibited>false</IsPublicationProhibited>
        <PublicationProhibitedFullName>טניה לאו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אורן בר משה</FullName>
        <FirstName>אורן</FirstName>
        <LastName>בר משה</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227846989</CasePartyID>
        <PartyTypeID>1</PartyTypeID>
        <ActivityStatusID>1</ActivityStatusID>
        <PartyAliasID>2</PartyAliasID>
        <PartyAliasName>נתבע</PartyAliasName>
        <OrdinalNumber>4</OrdinalNumber>
        <LegalEntityID>79826871</LegalEntityID>
        <CaseLegalEntityID>115717761</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ארלוזורוב 17 תל אביב -יפו </FullAddress>
        <MotionID>0</MotionID>
        <CasePleaID>0</CasePleaID>
        <LinkedCaseID>0</LinkedCaseID>
        <PartyID>2</PartyID>
        <CasePartyCategoryID>2</CasePartyCategoryID>
        <LegalEntityAddressID>85305250</LegalEntityAddressID>
        <PleaTypeID>4</PleaTypeID>
        <GroupPartyAlias>נתבעים</GroupPartyAlias>
        <IsConverted>false</IsConverted>
        <LegalEntityNameID>91539243</LegalEntityNameID>
        <RepresentatedNamesOfAssistant/>
        <LegalEntityTypeID>1</LegalEntityTypeID>
        <IsVerdictExists>false</IsVerdictExists>
        <IsAsirAzir>false</IsAsirAzir>
        <IsPublicationProhibited>false</IsPublicationProhibited>
        <PublicationProhibitedFullName>אורן בר משה</PublicationProhibitedFullName>
      </CaseParties>
    </CasePartiesSelectionDS>
    <DecisionName>פסק דין  שניתנה ע"י  אביים ברקאי</DecisionName>
    <CourtDisplayName>בית משפט השלום בתל אביב -יפו</CourtDisplayName>
    <IsCaseJudgePanel>false</IsCaseJudgePanel>
    <DecisionSignatureDate>2023-12-21T15:49:37.7266052+02:00</DecisionSignatureDate>
    <OpenCaseDate>2021-06-08T11:09:00+03:00</OpenCaseDate>
    <CaseFeeSum>1965600.000</CaseFeeSum>
    <DecisionTypeID>2</DecisionTypeID>
    <DecisionSignatureUserName>אביים ברקאי</DecisionSignatureUserName>
    <DecisionSignatureDateHebrew>2023-12-21T15:49:37.7266052+02:00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פינסון נ' לאו ואח'</CaseName>
    <DecisionNumberInCase>5</DecisionNumberInCase>
  </dt_Decision>
  <dt_DecisionCase>
    <DecisionID>0</DecisionID>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טלי לחובר-ינקוביץ</FullName>
        <FirstName>טלי</FirstName>
        <LastName>לחובר-ינקוביץ</LastName>
        <PartyPropertyName/>
        <AuthenticationTypeAndNumber>ת"ז 022478143</AuthenticationTypeAndNumber>
        <RepresentatedOrRepresentativesNames/>
        <RepresentatedOrRepresentativesCount>0</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232356967</CasePartyID>
        <PartyTypeID>3</PartyTypeID>
        <ActivityStatusID>1</ActivityStatusID>
        <LegalEntityID>12669637</LegalEntityID>
        <CaseLegalEntityID>117151190</CaseLegalEntityID>
        <AssistantRoleID>103</AssistantRoleID>
        <AuthenticationTypeID>1</AuthenticationTypeID>
        <AuthenticationTypeName>ת"ז</AuthenticationTypeName>
        <LegalEntityNumber>022478143</LegalEntityNumber>
        <IsMainPartyType>true</IsMainPartyType>
        <CaseDisplayIdentifier>18091-06-21</CaseDisplayIdentifier>
        <CaseTypeID>1</CaseTypeID>
        <CaseTypeName>תיק אזרחי בסדר דין רגיל (ת"א)</CaseTypeName>
        <CaseName>פינסון נ' לאו ואח'</CaseName>
        <FullAddress>הארבעה 28 תל אביב -יפו קומה 5</FullAddress>
        <EmailAddress>talily@bezeqint.net</EmailAddress>
        <MotionID>0</MotionID>
        <CasePleaID>0</CasePleaID>
        <LinkedCaseID>0</LinkedCaseID>
        <PartyID>1</PartyID>
        <CasePartyCategoryID>2</CasePartyCategoryID>
        <LegalEntityAddressID>84293607</LegalEntityAddressID>
        <LegalEntityEmailAddressID>43827679</LegalEntityEmailAddressID>
        <PleaTypeID>4</PleaTypeID>
        <GroupPartyAlias/>
        <IsConverted>false</IsConverted>
        <LegalEntityNameID>12394068</LegalEntityNameID>
        <RepresentatedNamesOfAssistant/>
        <LegalEntityTypeID>11</LegalEntityTypeID>
        <IsVerdictExists>false</IsVerdictExists>
        <IsAsirAzir>false</IsAsirAzir>
        <IsPublicationProhibited>false</IsPublicationProhibited>
        <PublicationProhibitedFullName>טלי לחובר-ינקוביץ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טסלר</FullName>
        <FirstName>מיכאל</FirstName>
        <LastName>טסלר</LastName>
        <PartyPropertyName/>
        <AuthenticationTypeAndNumber>מ.ר. 46086</AuthenticationTypeAndNumber>
        <RepresentatedOrRepresentativesNames>אור פינסון</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227470860</CasePartyID>
        <PartyTypeID>2</PartyTypeID>
        <ActivityStatusID>1</ActivityStatusID>
        <PartyAliasID>20</PartyAliasID>
        <PartyAliasName>בא כוח תובעים</PartyAliasName>
        <OrdinalNumber>1</OrdinalNumber>
        <LegalEntityID>2347676</LegalEntityID>
        <CaseLegalEntityID>115605261</CaseLegalEntityID>
        <AuthenticationTypeID>4</AuthenticationTypeID>
        <AuthenticationTypeName>מ.ר.</AuthenticationTypeName>
        <LegalEntityNumber>46086</LegalEntityNumber>
        <IsMainPartyType>true</IsMainPartyType>
        <CaseDisplayIdentifier>18091-06-21</CaseDisplayIdentifier>
        <CaseTypeID>1</CaseTypeID>
        <CaseTypeName>תיק אזרחי בסדר דין רגיל (ת"א)</CaseTypeName>
        <CaseName>פינסון נ' לאו ואח'</CaseName>
        <FullAddress>אבא הלל סילבר 16 רמת גן </FullAddress>
        <EmailAddress>net_hamishpat@meitar.com</EmailAddress>
        <MotionID>0</MotionID>
        <CasePleaID>0</CasePleaID>
        <LinkedCaseID>0</LinkedCaseID>
        <PartyID>1</PartyID>
        <CasePartyCategoryID>2</CasePartyCategoryID>
        <LegalEntityAddressID>86628576</LegalEntityAddressID>
        <LegalEntityEmailAddressID>68022781</LegalEntityEmailAddressID>
        <PleaTypeID>4</PleaTypeID>
        <LawyerOfficeName>מיתר, ליקוורניק, גבע,לשם, טל ושות'</LawyerOfficeName>
        <LawyerOfficeID>1507240</LawyerOfficeID>
        <GroupPartyAlias/>
        <IsConverted>false</IsConverted>
        <LegalEntityNameID>1974055</LegalEntityNameID>
        <RepresentatedNamesOfAssistant/>
        <LegalEntityTypeID>4</LegalEntityTypeID>
        <IsVerdictExists>false</IsVerdictExists>
        <IsAsirAzir>false</IsAsirAzir>
        <IsPublicationProhibited>false</IsPublicationProhibited>
        <PublicationProhibitedFullName>מיכאל טסלר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אור פינסון</FullName>
        <FirstName>אור</FirstName>
        <LastName>פינסון</LastName>
        <PartyPropertyName/>
        <AuthenticationTypeAndNumber>ת"ז 301140679</AuthenticationTypeAndNumber>
        <RepresentatedOrRepresentativesNames>מיכאל טסלר</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227470859</CasePartyID>
        <PartyTypeID>1</PartyTypeID>
        <ActivityStatusID>1</ActivityStatusID>
        <PartyAliasID>1</PartyAliasID>
        <PartyAliasName>תובע</PartyAliasName>
        <OrdinalNumber>1</OrdinalNumber>
        <LegalEntityID>70980516</LegalEntityID>
        <CaseLegalEntityID>115605260</CaseLegalEntityID>
        <AuthenticationTypeID>1</AuthenticationTypeID>
        <AuthenticationTypeName>ת"ז</AuthenticationTypeName>
        <LegalEntityNumber>301140679</LegalEntityNumber>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FatherName>יוסף</FatherName>
        <LinkedCaseID>0</LinkedCaseID>
        <PartyID>1</PartyID>
        <CasePartyCategoryID>2</CasePartyCategoryID>
        <GrandfatherName/>
        <DrivingLicenseNumber>8560385</DrivingLicenseNumber>
        <PleaTypeID>4</PleaTypeID>
        <GroupPartyAlias>תובעים</GroupPartyAlias>
        <IsConverted>false</IsConverted>
        <LegalEntityRegisteredNameID>5838245</LegalEntityRegisteredNameID>
        <LegalEntityNameID>91494092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 פינסון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ג'ואי לאו</FullName>
        <FirstName>ג'ואי</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227470861</CasePartyID>
        <PartyTypeID>1</PartyTypeID>
        <ActivityStatusID>1</ActivityStatusID>
        <PartyAliasID>2</PartyAliasID>
        <PartyAliasName>נתבע</PartyAliasName>
        <OrdinalNumber>1</OrdinalNumber>
        <LegalEntityID>79807993</LegalEntityID>
        <CaseLegalEntityID>115605262</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91494093</LegalEntityNameID>
        <RepresentatedNamesOfAssistant/>
        <LegalEntityTypeID>1</LegalEntityTypeID>
        <IsVerdictExists>false</IsVerdictExists>
        <IsAsirAzir>false</IsAsirAzir>
        <IsPublicationProhibited>false</IsPublicationProhibited>
        <PublicationProhibitedFullName>ג'ואי לאו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סהר רגב</FullName>
        <FirstName>סהר</FirstName>
        <LastName>רגב</LastName>
        <PartyPropertyName/>
        <AuthenticationTypeAndNumber>מ.ר. 56818</AuthenticationTypeAndNumber>
        <RepresentatedOrRepresentativesNames>אורן בר משה, ג'ואי לאו, טניה לאו, קרול לאו</RepresentatedOrRepresentativesNames>
        <RepresentatedOrRepresentativesCount>4</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231509854</CasePartyID>
        <PartyTypeID>2</PartyTypeID>
        <ActivityStatusID>1</ActivityStatusID>
        <PartyAliasID>21</PartyAliasID>
        <PartyAliasName>בא כוח נתבעים</PartyAliasName>
        <OrdinalNumber>1</OrdinalNumber>
        <LegalEntityID>71031140</LegalEntityID>
        <CaseLegalEntityID>116884609</CaseLegalEntityID>
        <AuthenticationTypeID>4</AuthenticationTypeID>
        <AuthenticationTypeName>מ.ר.</AuthenticationTypeName>
        <LegalEntityNumber>56818</LegalEntityNumber>
        <IsMainPartyType>true</IsMainPartyType>
        <CaseDisplayIdentifier>18091-06-21</CaseDisplayIdentifier>
        <CaseTypeID>1</CaseTypeID>
        <CaseTypeName>תיק אזרחי בסדר דין רגיל (ת"א)</CaseTypeName>
        <CaseName>פינסון נ' לאו ואח'</CaseName>
        <FullAddress>יצחק שדה 4 תל אביב -יפו </FullAddress>
        <EmailAddress>hfn@hfn.co.il</EmailAddress>
        <MotionID>0</MotionID>
        <CasePleaID>0</CasePleaID>
        <LinkedCaseID>0</LinkedCaseID>
        <PartyID>2</PartyID>
        <CasePartyCategoryID>2</CasePartyCategoryID>
        <LegalEntityAddressID>85358532</LegalEntityAddressID>
        <LegalEntityEmailAddressID>31826952</LegalEntityEmailAddressID>
        <PleaTypeID>4</PleaTypeID>
        <LawyerOfficeName>משרד עו"ד:  הרצוג פוקס נאמן ושות'</LawyerOfficeName>
        <LawyerOfficeID>421119</LawyerOfficeID>
        <GroupPartyAlias/>
        <IsConverted>false</IsConverted>
        <LegalEntityNameID>73891753</LegalEntityNameID>
        <RepresentatedNamesOfAssistant/>
        <LegalEntityTypeID>4</LegalEntityTypeID>
        <IsVerdictExists>false</IsVerdictExists>
        <IsAsirAzir>false</IsAsirAzir>
        <IsPublicationProhibited>false</IsPublicationProhibited>
        <PublicationProhibitedFullName>סהר רגב</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קרול לאו</FullName>
        <FirstName>קרול</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227846911</CasePartyID>
        <PartyTypeID>1</PartyTypeID>
        <ActivityStatusID>1</ActivityStatusID>
        <PartyAliasID>2</PartyAliasID>
        <PartyAliasName>נתבע</PartyAliasName>
        <OrdinalNumber>2</OrdinalNumber>
        <LegalEntityID>79826869</LegalEntityID>
        <CaseLegalEntityID>115717730</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91539236</LegalEntityNameID>
        <RepresentatedNamesOfAssistant/>
        <LegalEntityTypeID>1</LegalEntityTypeID>
        <IsVerdictExists>false</IsVerdictExists>
        <IsAsirAzir>false</IsAsirAzir>
        <IsPublicationProhibited>false</IsPublicationProhibited>
        <PublicationProhibitedFullName>קרול לאו</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טניה לאו</FullName>
        <FirstName>טניה</FirstName>
        <LastName>לאו</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227846931</CasePartyID>
        <PartyTypeID>1</PartyTypeID>
        <ActivityStatusID>1</ActivityStatusID>
        <PartyAliasID>2</PartyAliasID>
        <PartyAliasName>נתבע</PartyAliasName>
        <OrdinalNumber>3</OrdinalNumber>
        <LegalEntityID>79826870</LegalEntityID>
        <CaseLegalEntityID>115717741</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
        <MotionID>0</MotionID>
        <CasePleaID>0</CasePleaID>
        <LinkedCaseID>0</LinkedCaseID>
        <PartyID>2</PartyID>
        <CasePartyCategoryID>2</CasePartyCategoryID>
        <PleaTypeID>4</PleaTypeID>
        <GroupPartyAlias>נתבעים</GroupPartyAlias>
        <IsConverted>false</IsConverted>
        <LegalEntityNameID>91539238</LegalEntityNameID>
        <RepresentatedNamesOfAssistant/>
        <LegalEntityTypeID>1</LegalEntityTypeID>
        <IsVerdictExists>false</IsVerdictExists>
        <IsAsirAzir>false</IsAsirAzir>
        <IsPublicationProhibited>false</IsPublicationProhibited>
        <PublicationProhibitedFullName>טניה לאו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אורן בר משה</FullName>
        <FirstName>אורן</FirstName>
        <LastName>בר משה</LastName>
        <PartyPropertyName/>
        <AuthenticationTypeAndNumber>ת"ז </AuthenticationTypeAndNumber>
        <RepresentatedOrRepresentativesNames>סהר רגב</RepresentatedOrRepresentativesNames>
        <RepresentatedOrRepresentativesCount>1</RepresentatedOrRepresentativesCount>
        <InvitedBy/>
        <CaseID>78395598</CaseID>
        <CaseJudicialPersonPresentationDS>
          <CaseJudicalPersonActive>
            <CaseID>78395598</CaseID>
            <JudicialPersonID>022147607@GOV.IL</JudicialPersonID>
            <JudicialPersonTypeID>1</JudicialPersonTypeID>
            <JudicialTypeID>1</JudicialTypeID>
            <IsChairman>false</IsChairman>
            <TreatmentStartDate>2021-10-03T12:29:38.8+03:00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227846989</CasePartyID>
        <PartyTypeID>1</PartyTypeID>
        <ActivityStatusID>1</ActivityStatusID>
        <PartyAliasID>2</PartyAliasID>
        <PartyAliasName>נתבע</PartyAliasName>
        <OrdinalNumber>4</OrdinalNumber>
        <LegalEntityID>79826871</LegalEntityID>
        <CaseLegalEntityID>115717761</CaseLegalEntityID>
        <AuthenticationTypeID>1</AuthenticationTypeID>
        <AuthenticationTypeName>ת"ז</AuthenticationTypeName>
        <IsMainPartyType>true</IsMainPartyType>
        <CaseDisplayIdentifier>18091-06-21</CaseDisplayIdentifier>
        <CaseTypeID>1</CaseTypeID>
        <CaseTypeName>תיק אזרחי בסדר דין רגיל (ת"א)</CaseTypeName>
        <CaseName>פינסון נ' לאו ואח'</CaseName>
        <FullAddress>ארלוזורוב 17 תל אביב -יפו </FullAddress>
        <MotionID>0</MotionID>
        <CasePleaID>0</CasePleaID>
        <LinkedCaseID>0</LinkedCaseID>
        <PartyID>2</PartyID>
        <CasePartyCategoryID>2</CasePartyCategoryID>
        <LegalEntityAddressID>85305250</LegalEntityAddressID>
        <PleaTypeID>4</PleaTypeID>
        <GroupPartyAlias>נתבעים</GroupPartyAlias>
        <IsConverted>false</IsConverted>
        <LegalEntityNameID>91539243</LegalEntityNameID>
        <RepresentatedNamesOfAssistant/>
        <LegalEntityTypeID>1</LegalEntityTypeID>
        <IsVerdictExists>false</IsVerdictExists>
        <IsAsirAzir>false</IsAsirAzir>
        <IsPublicationProhibited>false</IsPublicationProhibited>
        <PublicationProhibitedFullName>אורן בר משה</PublicationProhibitedFullName>
      </CaseParties>
    </CasePartiesSelectionDS>
    <CaseName>פינסון נ' לאו ואח'</CaseName>
    <CaseDisplayIdentifier>18091-06-21</CaseDisplayIdentifier>
    <CaseInterestID>41</CaseInterestID>
    <CaseTypeShortName>ת"א</CaseTypeShortName>
  </dt_DecisionCase>
  <dt_DecisionJudgePanel>
    <JudgeID>022147607@GOV.IL</JudgeID>
    <DisplayName>אביים ברקאי</DisplayName>
    <RoleName>שופט</RoleName>
    <UserTitleName>שופט</UserTitleName>
  </dt_DecisionJudgePanel>
  <dt_LegalEntityDetails>
    <Fax>076-5100631</Fax>
    <Phone>03-6447008</Phone>
    <AddressDesc>קומה 5 </AddressDesc>
    <PartyID>1</PartyID>
    <PartyTypeID>3</PartyTypeID>
    <DecisionID>0</DecisionID>
    <AssistantRoleID>103</AssistantRoleID>
    <StreetName>הארבעה 28 </StreetName>
    <CityName>תל אביב -יפו</CityName>
    <FullName>טלי לחובר-ינקוביץ</FullName>
    <Email>talily@bezeqint.net</Email>
    <IsPublicationProhibited>false</IsPublicationProhibited>
  </dt_LegalEntityDetails>
  <dt_LegalEntityDetails>
    <PartyID>1</PartyID>
    <PartyTypeID>1</PartyTypeID>
    <DecisionID>0</DecisionID>
    <FullName>אור פינסון</FullName>
    <IsPublicationProhibited>false</IsPublicationProhibited>
  </dt_LegalEntityDetails>
  <dt_LegalEntityDetails>
    <Fax>03-6103111</Fax>
    <Phone>03-6103810</Phone>
    <PartyID>1</PartyID>
    <PartyTypeID>2</PartyTypeID>
    <DecisionID>0</DecisionID>
    <StreetName>אבא הלל סילבר 16</StreetName>
    <ZipCode>5250608</ZipCode>
    <CityName>רמת גן</CityName>
    <FullName>מיכאל  טסלר</FullName>
    <Email>net_hamishpat@meitar.com</Email>
    <IsPublicationProhibited>false</IsPublicationProhibited>
  </dt_LegalEntityDetails>
  <dt_LegalEntityDetails>
    <PartyID>2</PartyID>
    <PartyTypeID>1</PartyTypeID>
    <DecisionID>0</DecisionID>
    <FullName>ג'ואי לאו</FullName>
    <IsPublicationProhibited>false</IsPublicationProhibited>
  </dt_LegalEntityDetails>
  <dt_LegalEntityDetails>
    <Fax>03-6966464</Fax>
    <Phone>03-6922020</Phone>
    <AddressDesc/>
    <PartyID>2</PartyID>
    <PartyTypeID>2</PartyTypeID>
    <DecisionID>0</DecisionID>
    <StreetName>יצחק שדה 4</StreetName>
    <ZipCode>6777504</ZipCode>
    <CityName>תל אביב -יפו</CityName>
    <FullName>סהר רגב</FullName>
    <Email>hfn@hfn.co.il</Email>
    <IsPublicationProhibited>false</IsPublicationProhibited>
  </dt_LegalEntityDetails>
  <dt_LegalEntityDetails>
    <PartyID>2</PartyID>
    <PartyTypeID>1</PartyTypeID>
    <DecisionID>0</DecisionID>
    <FullName>קרול לאו</FullName>
    <IsPublicationProhibited>false</IsPublicationProhibited>
  </dt_LegalEntityDetails>
  <dt_LegalEntityDetails>
    <PartyID>2</PartyID>
    <PartyTypeID>1</PartyTypeID>
    <DecisionID>0</DecisionID>
    <FullName>טניה לאו</FullName>
    <IsPublicationProhibited>false</IsPublicationProhibited>
  </dt_LegalEntityDetails>
  <dt_LegalEntityDetails>
    <PartyID>2</PartyID>
    <PartyTypeID>1</PartyTypeID>
    <DecisionID>0</DecisionID>
    <StreetName>ארלוזורוב 17</StreetName>
    <CityName>תל אביב -יפו</CityName>
    <FullName>אורן בר משה</FullName>
    <IsPublicationProhibited>false</IsPublicationProhibited>
  </dt_LegalEntityDetails>
  <dt_CaseJudicalPersonActive>
    <CaseJudicalPerson>שופט אביים ברקאי</CaseJudicalPerson>
  </dt_CaseJudicalPersonActive>
  <dt_Sitting>
    <PreviousMeetingDate>2023-03-01T11:30:00+02:00</PreviousMeetingDate>
    <PreviousSittingTypeID>2</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754F5-CE61-4488-916C-D77EED7B5ADA}">
  <ds:schemaRefs/>
</ds:datastoreItem>
</file>

<file path=customXml/itemProps2.xml><?xml version="1.0" encoding="utf-8"?>
<ds:datastoreItem xmlns:ds="http://schemas.openxmlformats.org/officeDocument/2006/customXml" ds:itemID="{73430DD5-0844-4D7D-9473-6ACAE669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5155</Words>
  <Characters>25778</Characters>
  <Application>Microsoft Office Word</Application>
  <DocSecurity>4</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2023-12-25T08:37:00Z</dcterms:created>
  <dcterms:modified xsi:type="dcterms:W3CDTF">2023-12-25T08:37:00Z</dcterms:modified>
</cp:coreProperties>
</file>